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7E" w:rsidRPr="00C92729" w:rsidRDefault="00D5547E" w:rsidP="004A6D2F">
      <w:pPr>
        <w:rPr>
          <w:color w:val="auto"/>
        </w:rPr>
      </w:pPr>
    </w:p>
    <w:tbl>
      <w:tblPr>
        <w:tblW w:w="0" w:type="auto"/>
        <w:tblInd w:w="108" w:type="dxa"/>
        <w:tblLayout w:type="fixed"/>
        <w:tblLook w:val="04A0" w:firstRow="1" w:lastRow="0" w:firstColumn="1" w:lastColumn="0" w:noHBand="0" w:noVBand="1"/>
      </w:tblPr>
      <w:tblGrid>
        <w:gridCol w:w="2438"/>
        <w:gridCol w:w="6406"/>
      </w:tblGrid>
      <w:tr w:rsidR="00C92729" w:rsidRPr="00575235" w:rsidTr="00737C85">
        <w:tc>
          <w:tcPr>
            <w:tcW w:w="2438" w:type="dxa"/>
            <w:shd w:val="clear" w:color="auto" w:fill="auto"/>
          </w:tcPr>
          <w:p w:rsidR="00F445B1" w:rsidRPr="00575235" w:rsidRDefault="00F445B1" w:rsidP="004A6D2F">
            <w:pPr>
              <w:rPr>
                <w:rStyle w:val="Firstpagetablebold"/>
                <w:rFonts w:cs="Arial"/>
                <w:color w:val="auto"/>
              </w:rPr>
            </w:pPr>
            <w:r w:rsidRPr="00575235">
              <w:rPr>
                <w:rStyle w:val="Firstpagetablebold"/>
                <w:rFonts w:cs="Arial"/>
                <w:color w:val="auto"/>
              </w:rPr>
              <w:t>To</w:t>
            </w:r>
            <w:r w:rsidR="005C35A5" w:rsidRPr="00575235">
              <w:rPr>
                <w:rStyle w:val="Firstpagetablebold"/>
                <w:rFonts w:cs="Arial"/>
                <w:color w:val="auto"/>
              </w:rPr>
              <w:t>:</w:t>
            </w:r>
          </w:p>
        </w:tc>
        <w:tc>
          <w:tcPr>
            <w:tcW w:w="6406" w:type="dxa"/>
            <w:shd w:val="clear" w:color="auto" w:fill="auto"/>
          </w:tcPr>
          <w:p w:rsidR="00F445B1" w:rsidRPr="00575235" w:rsidRDefault="00A566D0" w:rsidP="00A566D0">
            <w:pPr>
              <w:rPr>
                <w:rStyle w:val="Firstpagetablebold"/>
                <w:rFonts w:cs="Arial"/>
                <w:color w:val="auto"/>
              </w:rPr>
            </w:pPr>
            <w:r>
              <w:rPr>
                <w:rStyle w:val="Firstpagetablebold"/>
                <w:rFonts w:cs="Arial"/>
                <w:color w:val="auto"/>
              </w:rPr>
              <w:t>Shareholder and Joint Venture Group</w:t>
            </w:r>
          </w:p>
        </w:tc>
      </w:tr>
      <w:tr w:rsidR="00C92729" w:rsidRPr="00575235" w:rsidTr="00737C85">
        <w:tc>
          <w:tcPr>
            <w:tcW w:w="2438" w:type="dxa"/>
            <w:shd w:val="clear" w:color="auto" w:fill="auto"/>
          </w:tcPr>
          <w:p w:rsidR="00F445B1" w:rsidRPr="00575235" w:rsidRDefault="00F445B1" w:rsidP="004A6D2F">
            <w:pPr>
              <w:rPr>
                <w:rStyle w:val="Firstpagetablebold"/>
                <w:rFonts w:cs="Arial"/>
                <w:color w:val="auto"/>
              </w:rPr>
            </w:pPr>
            <w:r w:rsidRPr="00575235">
              <w:rPr>
                <w:rStyle w:val="Firstpagetablebold"/>
                <w:rFonts w:cs="Arial"/>
                <w:color w:val="auto"/>
              </w:rPr>
              <w:t>Dat</w:t>
            </w:r>
            <w:r w:rsidR="005C35A5" w:rsidRPr="00575235">
              <w:rPr>
                <w:rStyle w:val="Firstpagetablebold"/>
                <w:rFonts w:cs="Arial"/>
                <w:color w:val="auto"/>
              </w:rPr>
              <w:t>e:</w:t>
            </w:r>
          </w:p>
        </w:tc>
        <w:tc>
          <w:tcPr>
            <w:tcW w:w="6406" w:type="dxa"/>
            <w:shd w:val="clear" w:color="auto" w:fill="auto"/>
          </w:tcPr>
          <w:p w:rsidR="00F445B1" w:rsidRPr="00575235" w:rsidRDefault="00C926A1" w:rsidP="00C926A1">
            <w:pPr>
              <w:rPr>
                <w:rFonts w:cs="Arial"/>
                <w:b/>
                <w:color w:val="auto"/>
              </w:rPr>
            </w:pPr>
            <w:r>
              <w:rPr>
                <w:rFonts w:cs="Arial"/>
                <w:b/>
                <w:color w:val="auto"/>
              </w:rPr>
              <w:t>17</w:t>
            </w:r>
            <w:r w:rsidR="007859F3">
              <w:rPr>
                <w:rFonts w:cs="Arial"/>
                <w:b/>
                <w:color w:val="auto"/>
              </w:rPr>
              <w:t xml:space="preserve"> </w:t>
            </w:r>
            <w:r>
              <w:rPr>
                <w:rFonts w:cs="Arial"/>
                <w:b/>
                <w:color w:val="auto"/>
              </w:rPr>
              <w:t>March</w:t>
            </w:r>
            <w:r w:rsidR="007859F3">
              <w:rPr>
                <w:rFonts w:cs="Arial"/>
                <w:b/>
                <w:color w:val="auto"/>
              </w:rPr>
              <w:t xml:space="preserve"> </w:t>
            </w:r>
            <w:r w:rsidR="000947DC">
              <w:rPr>
                <w:rFonts w:cs="Arial"/>
                <w:b/>
                <w:color w:val="auto"/>
              </w:rPr>
              <w:t>20</w:t>
            </w:r>
            <w:r>
              <w:rPr>
                <w:rFonts w:cs="Arial"/>
                <w:b/>
                <w:color w:val="auto"/>
              </w:rPr>
              <w:t>20</w:t>
            </w:r>
          </w:p>
        </w:tc>
      </w:tr>
      <w:tr w:rsidR="00C92729" w:rsidRPr="00575235" w:rsidTr="00737C85">
        <w:tc>
          <w:tcPr>
            <w:tcW w:w="2438" w:type="dxa"/>
            <w:shd w:val="clear" w:color="auto" w:fill="auto"/>
          </w:tcPr>
          <w:p w:rsidR="00F445B1" w:rsidRPr="00575235" w:rsidRDefault="00F445B1" w:rsidP="004A6D2F">
            <w:pPr>
              <w:rPr>
                <w:rStyle w:val="Firstpagetablebold"/>
                <w:rFonts w:cs="Arial"/>
                <w:color w:val="auto"/>
              </w:rPr>
            </w:pPr>
            <w:r w:rsidRPr="00575235">
              <w:rPr>
                <w:rStyle w:val="Firstpagetablebold"/>
                <w:rFonts w:cs="Arial"/>
                <w:color w:val="auto"/>
              </w:rPr>
              <w:t>Report of</w:t>
            </w:r>
            <w:r w:rsidR="005C35A5" w:rsidRPr="00575235">
              <w:rPr>
                <w:rStyle w:val="Firstpagetablebold"/>
                <w:rFonts w:cs="Arial"/>
                <w:color w:val="auto"/>
              </w:rPr>
              <w:t>:</w:t>
            </w:r>
          </w:p>
        </w:tc>
        <w:tc>
          <w:tcPr>
            <w:tcW w:w="6406" w:type="dxa"/>
            <w:shd w:val="clear" w:color="auto" w:fill="auto"/>
          </w:tcPr>
          <w:p w:rsidR="00F445B1" w:rsidRPr="00575235" w:rsidRDefault="00EC1A61" w:rsidP="00C0652D">
            <w:pPr>
              <w:rPr>
                <w:rStyle w:val="Firstpagetablebold"/>
                <w:rFonts w:cs="Arial"/>
                <w:color w:val="auto"/>
              </w:rPr>
            </w:pPr>
            <w:r>
              <w:rPr>
                <w:rStyle w:val="Firstpagetablebold"/>
                <w:rFonts w:cs="Arial"/>
                <w:color w:val="auto"/>
              </w:rPr>
              <w:t>Companies Scrutiny Panel</w:t>
            </w:r>
          </w:p>
        </w:tc>
      </w:tr>
      <w:tr w:rsidR="00C92729" w:rsidRPr="00575235" w:rsidTr="00737C85">
        <w:tc>
          <w:tcPr>
            <w:tcW w:w="2438" w:type="dxa"/>
            <w:shd w:val="clear" w:color="auto" w:fill="auto"/>
          </w:tcPr>
          <w:p w:rsidR="00F445B1" w:rsidRPr="00575235" w:rsidRDefault="00F445B1" w:rsidP="004A6D2F">
            <w:pPr>
              <w:rPr>
                <w:rStyle w:val="Firstpagetablebold"/>
                <w:rFonts w:cs="Arial"/>
                <w:color w:val="auto"/>
              </w:rPr>
            </w:pPr>
            <w:r w:rsidRPr="00575235">
              <w:rPr>
                <w:rStyle w:val="Firstpagetablebold"/>
                <w:rFonts w:cs="Arial"/>
                <w:color w:val="auto"/>
              </w:rPr>
              <w:t xml:space="preserve">Title of Report: </w:t>
            </w:r>
          </w:p>
        </w:tc>
        <w:tc>
          <w:tcPr>
            <w:tcW w:w="6406" w:type="dxa"/>
            <w:shd w:val="clear" w:color="auto" w:fill="auto"/>
          </w:tcPr>
          <w:p w:rsidR="00E61656" w:rsidRPr="000F47BC" w:rsidRDefault="00E61656" w:rsidP="00E61656">
            <w:pPr>
              <w:rPr>
                <w:b/>
              </w:rPr>
            </w:pPr>
            <w:r>
              <w:rPr>
                <w:b/>
              </w:rPr>
              <w:t xml:space="preserve">Scrutiny Response to </w:t>
            </w:r>
            <w:r w:rsidR="00C926A1">
              <w:rPr>
                <w:b/>
              </w:rPr>
              <w:t>agenda item 8b – Housing Company</w:t>
            </w:r>
            <w:r w:rsidR="00F84CEE">
              <w:rPr>
                <w:b/>
              </w:rPr>
              <w:t>:</w:t>
            </w:r>
            <w:r w:rsidR="00C926A1">
              <w:rPr>
                <w:b/>
              </w:rPr>
              <w:t xml:space="preserve"> Finance and Performance</w:t>
            </w:r>
            <w:r w:rsidR="00F84CEE">
              <w:rPr>
                <w:b/>
              </w:rPr>
              <w:t xml:space="preserve"> Report</w:t>
            </w:r>
          </w:p>
          <w:p w:rsidR="00737C85" w:rsidRPr="00575235" w:rsidRDefault="00C0652D" w:rsidP="00C0652D">
            <w:pPr>
              <w:spacing w:after="0"/>
              <w:rPr>
                <w:rStyle w:val="Firstpagetablebold"/>
                <w:rFonts w:cs="Arial"/>
                <w:color w:val="auto"/>
              </w:rPr>
            </w:pPr>
            <w:r w:rsidRPr="00575235">
              <w:rPr>
                <w:rStyle w:val="Firstpagetablebold"/>
                <w:rFonts w:cs="Arial"/>
                <w:color w:val="auto"/>
              </w:rPr>
              <w:t xml:space="preserve"> </w:t>
            </w:r>
          </w:p>
        </w:tc>
      </w:tr>
    </w:tbl>
    <w:p w:rsidR="00CE544A" w:rsidRDefault="00CE544A" w:rsidP="002F68CC"/>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320"/>
        <w:gridCol w:w="7043"/>
      </w:tblGrid>
      <w:tr w:rsidR="008C6EB7" w:rsidRPr="00575235" w:rsidTr="008C6EB7">
        <w:trPr>
          <w:trHeight w:val="372"/>
        </w:trPr>
        <w:tc>
          <w:tcPr>
            <w:tcW w:w="9072" w:type="dxa"/>
            <w:gridSpan w:val="3"/>
            <w:tcBorders>
              <w:top w:val="single" w:sz="8" w:space="0" w:color="000000"/>
              <w:left w:val="single" w:sz="8" w:space="0" w:color="000000"/>
              <w:bottom w:val="single" w:sz="8" w:space="0" w:color="000000"/>
              <w:right w:val="single" w:sz="8" w:space="0" w:color="000000"/>
            </w:tcBorders>
            <w:shd w:val="clear" w:color="auto" w:fill="auto"/>
          </w:tcPr>
          <w:p w:rsidR="008C6EB7" w:rsidRPr="00575235" w:rsidRDefault="008C6EB7" w:rsidP="008C6EB7">
            <w:pPr>
              <w:jc w:val="center"/>
              <w:rPr>
                <w:rStyle w:val="Firstpagetablebold"/>
                <w:rFonts w:cs="Arial"/>
              </w:rPr>
            </w:pPr>
            <w:r w:rsidRPr="00575235">
              <w:rPr>
                <w:rStyle w:val="Firstpagetablebold"/>
                <w:rFonts w:cs="Arial"/>
              </w:rPr>
              <w:t>Summary and recommendations</w:t>
            </w:r>
          </w:p>
        </w:tc>
      </w:tr>
      <w:tr w:rsidR="008C6EB7" w:rsidRPr="00575235" w:rsidTr="008C6EB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46"/>
        </w:trPr>
        <w:tc>
          <w:tcPr>
            <w:tcW w:w="2029" w:type="dxa"/>
            <w:gridSpan w:val="2"/>
            <w:tcBorders>
              <w:top w:val="single" w:sz="8" w:space="0" w:color="000000"/>
              <w:left w:val="single" w:sz="8" w:space="0" w:color="000000"/>
              <w:bottom w:val="single" w:sz="4" w:space="0" w:color="auto"/>
              <w:right w:val="nil"/>
            </w:tcBorders>
            <w:hideMark/>
          </w:tcPr>
          <w:p w:rsidR="008C6EB7" w:rsidRPr="00575235" w:rsidRDefault="008C6EB7" w:rsidP="00EE41F2">
            <w:pPr>
              <w:rPr>
                <w:rStyle w:val="Firstpagetablebold"/>
                <w:rFonts w:cs="Arial"/>
              </w:rPr>
            </w:pPr>
            <w:r w:rsidRPr="00575235">
              <w:rPr>
                <w:rStyle w:val="Firstpagetablebold"/>
                <w:rFonts w:cs="Arial"/>
              </w:rPr>
              <w:t>Purpose of report:</w:t>
            </w:r>
          </w:p>
        </w:tc>
        <w:tc>
          <w:tcPr>
            <w:tcW w:w="7043" w:type="dxa"/>
            <w:tcBorders>
              <w:top w:val="single" w:sz="8" w:space="0" w:color="000000"/>
              <w:left w:val="nil"/>
              <w:bottom w:val="single" w:sz="4" w:space="0" w:color="auto"/>
              <w:right w:val="single" w:sz="8" w:space="0" w:color="000000"/>
            </w:tcBorders>
          </w:tcPr>
          <w:p w:rsidR="008C6EB7" w:rsidRPr="00E61656" w:rsidRDefault="00E61656" w:rsidP="00C926A1">
            <w:pPr>
              <w:rPr>
                <w:b/>
              </w:rPr>
            </w:pPr>
            <w:r>
              <w:t xml:space="preserve">To present Companies Scrutiny Panel recommendations concerning the </w:t>
            </w:r>
            <w:r w:rsidR="00C926A1">
              <w:t>Housing company Finance and Performance report</w:t>
            </w:r>
          </w:p>
        </w:tc>
      </w:tr>
      <w:tr w:rsidR="008C6EB7" w:rsidRPr="00575235" w:rsidTr="008C6EB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19"/>
        </w:trPr>
        <w:tc>
          <w:tcPr>
            <w:tcW w:w="9072" w:type="dxa"/>
            <w:gridSpan w:val="3"/>
            <w:tcBorders>
              <w:top w:val="single" w:sz="4" w:space="0" w:color="auto"/>
              <w:bottom w:val="nil"/>
            </w:tcBorders>
          </w:tcPr>
          <w:p w:rsidR="008C6EB7" w:rsidRPr="00575235" w:rsidRDefault="008C6EB7" w:rsidP="00EE41F2">
            <w:pPr>
              <w:rPr>
                <w:rFonts w:cs="Arial"/>
              </w:rPr>
            </w:pPr>
            <w:r>
              <w:rPr>
                <w:rStyle w:val="Firstpagetablebold"/>
                <w:rFonts w:cs="Arial"/>
              </w:rPr>
              <w:t>Recommendation</w:t>
            </w:r>
            <w:r w:rsidRPr="00575235">
              <w:rPr>
                <w:rStyle w:val="Firstpagetablebold"/>
                <w:rFonts w:cs="Arial"/>
              </w:rPr>
              <w:t>:</w:t>
            </w:r>
            <w:r>
              <w:rPr>
                <w:rStyle w:val="Firstpagetablebold"/>
                <w:rFonts w:cs="Arial"/>
              </w:rPr>
              <w:t xml:space="preserve"> The </w:t>
            </w:r>
            <w:r w:rsidR="002C3601">
              <w:rPr>
                <w:rStyle w:val="Firstpagetablebold"/>
                <w:rFonts w:cs="Arial"/>
              </w:rPr>
              <w:t xml:space="preserve">Shareholder and Joint Venture </w:t>
            </w:r>
            <w:r>
              <w:rPr>
                <w:rStyle w:val="Firstpagetablebold"/>
                <w:rFonts w:cs="Arial"/>
              </w:rPr>
              <w:t>Group is asked to</w:t>
            </w:r>
          </w:p>
        </w:tc>
      </w:tr>
      <w:tr w:rsidR="008C6EB7" w:rsidRPr="00575235" w:rsidTr="008C6EB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07"/>
        </w:trPr>
        <w:tc>
          <w:tcPr>
            <w:tcW w:w="709" w:type="dxa"/>
            <w:tcBorders>
              <w:top w:val="nil"/>
              <w:left w:val="single" w:sz="8" w:space="0" w:color="000000"/>
              <w:bottom w:val="single" w:sz="4" w:space="0" w:color="auto"/>
              <w:right w:val="nil"/>
            </w:tcBorders>
          </w:tcPr>
          <w:p w:rsidR="008C6EB7" w:rsidRPr="00575235" w:rsidRDefault="008C6EB7" w:rsidP="00EE41F2">
            <w:pPr>
              <w:pStyle w:val="ListParagraph"/>
              <w:numPr>
                <w:ilvl w:val="0"/>
                <w:numId w:val="31"/>
              </w:numPr>
              <w:tabs>
                <w:tab w:val="clear" w:pos="426"/>
              </w:tabs>
              <w:ind w:left="317" w:right="34" w:hanging="141"/>
              <w:jc w:val="center"/>
              <w:rPr>
                <w:rFonts w:cs="Arial"/>
              </w:rPr>
            </w:pPr>
          </w:p>
        </w:tc>
        <w:tc>
          <w:tcPr>
            <w:tcW w:w="8363" w:type="dxa"/>
            <w:gridSpan w:val="2"/>
            <w:tcBorders>
              <w:top w:val="nil"/>
              <w:left w:val="nil"/>
              <w:bottom w:val="single" w:sz="4" w:space="0" w:color="auto"/>
              <w:right w:val="single" w:sz="8" w:space="0" w:color="000000"/>
            </w:tcBorders>
            <w:shd w:val="clear" w:color="auto" w:fill="auto"/>
          </w:tcPr>
          <w:p w:rsidR="008C6EB7" w:rsidRPr="00E61656" w:rsidRDefault="00E61656" w:rsidP="00E61656">
            <w:pPr>
              <w:spacing w:after="0"/>
              <w:contextualSpacing/>
              <w:jc w:val="both"/>
              <w:rPr>
                <w:rFonts w:cs="Arial"/>
                <w:b/>
              </w:rPr>
            </w:pPr>
            <w:r w:rsidRPr="00E61656">
              <w:rPr>
                <w:rStyle w:val="Firstpagetablebold"/>
                <w:b w:val="0"/>
              </w:rPr>
              <w:t>state whether it agrees or disagrees with the recommendation in the body of this report.</w:t>
            </w:r>
          </w:p>
        </w:tc>
      </w:tr>
    </w:tbl>
    <w:p w:rsidR="008C6EB7" w:rsidRDefault="008C6EB7" w:rsidP="008C6EB7">
      <w:pPr>
        <w:rPr>
          <w:rFonts w:eastAsiaTheme="minorHAnsi"/>
          <w:lang w:eastAsia="en-US"/>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6772"/>
      </w:tblGrid>
      <w:tr w:rsidR="008C6EB7" w:rsidRPr="00575235" w:rsidTr="00EE41F2">
        <w:trPr>
          <w:trHeight w:val="372"/>
        </w:trPr>
        <w:tc>
          <w:tcPr>
            <w:tcW w:w="9072" w:type="dxa"/>
            <w:gridSpan w:val="2"/>
            <w:tcBorders>
              <w:top w:val="single" w:sz="8" w:space="0" w:color="000000"/>
              <w:left w:val="single" w:sz="8" w:space="0" w:color="000000"/>
              <w:bottom w:val="single" w:sz="8" w:space="0" w:color="000000"/>
              <w:right w:val="single" w:sz="8" w:space="0" w:color="000000"/>
            </w:tcBorders>
            <w:shd w:val="clear" w:color="auto" w:fill="auto"/>
          </w:tcPr>
          <w:p w:rsidR="008C6EB7" w:rsidRPr="00575235" w:rsidRDefault="008C6EB7" w:rsidP="00EE41F2">
            <w:pPr>
              <w:jc w:val="center"/>
              <w:rPr>
                <w:rFonts w:cs="Arial"/>
              </w:rPr>
            </w:pPr>
            <w:r w:rsidRPr="00575235">
              <w:rPr>
                <w:rStyle w:val="Firstpagetablebold"/>
                <w:rFonts w:cs="Arial"/>
              </w:rPr>
              <w:t>Appendices</w:t>
            </w:r>
          </w:p>
        </w:tc>
      </w:tr>
      <w:tr w:rsidR="008C6EB7" w:rsidRPr="00575235" w:rsidTr="00EE41F2">
        <w:trPr>
          <w:trHeight w:val="372"/>
        </w:trPr>
        <w:tc>
          <w:tcPr>
            <w:tcW w:w="2300" w:type="dxa"/>
            <w:tcBorders>
              <w:top w:val="single" w:sz="8" w:space="0" w:color="000000"/>
              <w:left w:val="single" w:sz="8" w:space="0" w:color="000000"/>
              <w:bottom w:val="single" w:sz="4" w:space="0" w:color="auto"/>
              <w:right w:val="nil"/>
            </w:tcBorders>
            <w:shd w:val="clear" w:color="auto" w:fill="auto"/>
          </w:tcPr>
          <w:p w:rsidR="008C6EB7" w:rsidRPr="00575235" w:rsidRDefault="00E61656" w:rsidP="00EE41F2">
            <w:pPr>
              <w:rPr>
                <w:rFonts w:cs="Arial"/>
                <w:color w:val="auto"/>
              </w:rPr>
            </w:pPr>
            <w:r>
              <w:rPr>
                <w:rFonts w:cs="Arial"/>
                <w:color w:val="auto"/>
              </w:rPr>
              <w:t>None</w:t>
            </w:r>
          </w:p>
        </w:tc>
        <w:tc>
          <w:tcPr>
            <w:tcW w:w="6772" w:type="dxa"/>
            <w:tcBorders>
              <w:top w:val="single" w:sz="8" w:space="0" w:color="000000"/>
              <w:left w:val="nil"/>
              <w:bottom w:val="single" w:sz="4" w:space="0" w:color="auto"/>
              <w:right w:val="single" w:sz="8" w:space="0" w:color="000000"/>
            </w:tcBorders>
          </w:tcPr>
          <w:p w:rsidR="008C6EB7" w:rsidRPr="00575235" w:rsidRDefault="008C6EB7" w:rsidP="00EE41F2">
            <w:pPr>
              <w:rPr>
                <w:rFonts w:cs="Arial"/>
                <w:color w:val="auto"/>
              </w:rPr>
            </w:pPr>
          </w:p>
        </w:tc>
      </w:tr>
    </w:tbl>
    <w:p w:rsidR="008C6EB7" w:rsidRDefault="008C6EB7" w:rsidP="008C6EB7">
      <w:pPr>
        <w:rPr>
          <w:rFonts w:eastAsiaTheme="minorHAnsi"/>
          <w:lang w:eastAsia="en-US"/>
        </w:rPr>
      </w:pPr>
    </w:p>
    <w:p w:rsidR="008139D7" w:rsidRDefault="008139D7" w:rsidP="008139D7">
      <w:pPr>
        <w:pStyle w:val="Heading1"/>
        <w:spacing w:before="0"/>
        <w:contextualSpacing/>
      </w:pPr>
      <w:r w:rsidRPr="001356F1">
        <w:t xml:space="preserve">Introduction and </w:t>
      </w:r>
      <w:r>
        <w:t>overview</w:t>
      </w:r>
    </w:p>
    <w:p w:rsidR="00A83FC9" w:rsidRDefault="00C926A1" w:rsidP="008139D7">
      <w:pPr>
        <w:pStyle w:val="ListParagraph"/>
        <w:numPr>
          <w:ilvl w:val="0"/>
          <w:numId w:val="48"/>
        </w:numPr>
        <w:spacing w:after="0"/>
        <w:ind w:left="426" w:hanging="426"/>
      </w:pPr>
      <w:r>
        <w:t>At its meeting on 13 March 2020</w:t>
      </w:r>
      <w:r w:rsidR="00A83FC9">
        <w:t>, the Companies Scrutiny Panel</w:t>
      </w:r>
      <w:r w:rsidR="008139D7">
        <w:t xml:space="preserve"> considered</w:t>
      </w:r>
      <w:r>
        <w:t xml:space="preserve"> a</w:t>
      </w:r>
      <w:r w:rsidR="00F84CEE">
        <w:t xml:space="preserve"> </w:t>
      </w:r>
      <w:r>
        <w:t>finance and performance report on</w:t>
      </w:r>
      <w:r w:rsidR="00A83FC9">
        <w:t xml:space="preserve"> the Oxford City Council’s housing group of companies (“the Housing Group”).</w:t>
      </w:r>
    </w:p>
    <w:p w:rsidR="008139D7" w:rsidRDefault="008139D7" w:rsidP="008139D7">
      <w:pPr>
        <w:spacing w:after="0"/>
      </w:pPr>
    </w:p>
    <w:p w:rsidR="00C926A1" w:rsidRPr="006C7C6C" w:rsidRDefault="008139D7" w:rsidP="006C7C6C">
      <w:pPr>
        <w:pStyle w:val="ListParagraph"/>
        <w:numPr>
          <w:ilvl w:val="0"/>
          <w:numId w:val="48"/>
        </w:numPr>
        <w:spacing w:after="0"/>
        <w:ind w:left="426" w:hanging="426"/>
        <w:rPr>
          <w:b/>
          <w:color w:val="auto"/>
        </w:rPr>
      </w:pPr>
      <w:r>
        <w:t xml:space="preserve">The Panel would like to thank </w:t>
      </w:r>
      <w:r w:rsidR="00A83FC9">
        <w:t xml:space="preserve">Lindsay Cane, Housing Group Company Secretary, for compiling the reports, and </w:t>
      </w:r>
      <w:r w:rsidR="00C926A1">
        <w:t>Stephen Clarke</w:t>
      </w:r>
      <w:r w:rsidR="00A83FC9">
        <w:t xml:space="preserve"> and Jane Winfield, Housing Group Company Directors, David Watt, </w:t>
      </w:r>
      <w:r w:rsidR="00AE50BE">
        <w:t xml:space="preserve">Housing Group </w:t>
      </w:r>
      <w:r w:rsidR="00A83FC9">
        <w:t xml:space="preserve">Strategic </w:t>
      </w:r>
      <w:r w:rsidR="00C926A1">
        <w:t>Finance Manager</w:t>
      </w:r>
      <w:r w:rsidR="006C7C6C">
        <w:t xml:space="preserve"> for supporting the meeting.</w:t>
      </w:r>
      <w:r w:rsidR="00722CEE">
        <w:t xml:space="preserve"> The Panel would also like to thank Nigel Kennedy, Head of Financial Services, and Anita Bradley, Monitoring Officer for supporting </w:t>
      </w:r>
      <w:r w:rsidR="00411F16">
        <w:t>as advisors to the Shareholder and Joint Venture Group</w:t>
      </w:r>
      <w:r w:rsidR="00722CEE">
        <w:t>.</w:t>
      </w:r>
    </w:p>
    <w:p w:rsidR="00C926A1" w:rsidRPr="00C926A1" w:rsidRDefault="00C926A1" w:rsidP="00C926A1">
      <w:pPr>
        <w:spacing w:after="0"/>
        <w:rPr>
          <w:b/>
          <w:color w:val="auto"/>
        </w:rPr>
      </w:pPr>
    </w:p>
    <w:p w:rsidR="007859F3" w:rsidRDefault="008139D7" w:rsidP="00EE00E3">
      <w:pPr>
        <w:spacing w:after="0"/>
        <w:rPr>
          <w:b/>
          <w:color w:val="auto"/>
        </w:rPr>
      </w:pPr>
      <w:r w:rsidRPr="00B06D07">
        <w:rPr>
          <w:b/>
          <w:color w:val="auto"/>
        </w:rPr>
        <w:t>Summary and recommendation</w:t>
      </w:r>
    </w:p>
    <w:p w:rsidR="00EE00E3" w:rsidRPr="00EE00E3" w:rsidRDefault="00EE00E3" w:rsidP="00EE00E3">
      <w:pPr>
        <w:rPr>
          <w:rFonts w:eastAsiaTheme="minorHAnsi"/>
          <w:lang w:eastAsia="en-US"/>
        </w:rPr>
      </w:pPr>
    </w:p>
    <w:p w:rsidR="006C7C6C" w:rsidRPr="006C7C6C" w:rsidRDefault="00EE00E3" w:rsidP="006C7C6C">
      <w:pPr>
        <w:pStyle w:val="ListParagraph"/>
        <w:rPr>
          <w:rFonts w:eastAsiaTheme="minorHAnsi"/>
          <w:lang w:eastAsia="en-US"/>
        </w:rPr>
      </w:pPr>
      <w:r>
        <w:rPr>
          <w:rFonts w:eastAsiaTheme="minorHAnsi"/>
          <w:lang w:eastAsia="en-US"/>
        </w:rPr>
        <w:t>The Housing Group</w:t>
      </w:r>
      <w:r w:rsidR="006C7C6C">
        <w:rPr>
          <w:rFonts w:eastAsiaTheme="minorHAnsi"/>
          <w:lang w:eastAsia="en-US"/>
        </w:rPr>
        <w:t xml:space="preserve"> Company Directors</w:t>
      </w:r>
      <w:r>
        <w:rPr>
          <w:rFonts w:eastAsiaTheme="minorHAnsi"/>
          <w:lang w:eastAsia="en-US"/>
        </w:rPr>
        <w:t>,</w:t>
      </w:r>
      <w:r w:rsidR="006C7C6C">
        <w:rPr>
          <w:rFonts w:eastAsiaTheme="minorHAnsi"/>
          <w:lang w:eastAsia="en-US"/>
        </w:rPr>
        <w:t xml:space="preserve"> Stephen Clarke and Jane Winfield,</w:t>
      </w:r>
      <w:r w:rsidR="00722CEE">
        <w:rPr>
          <w:rFonts w:eastAsiaTheme="minorHAnsi"/>
          <w:lang w:eastAsia="en-US"/>
        </w:rPr>
        <w:t xml:space="preserve"> introduced the report</w:t>
      </w:r>
      <w:r>
        <w:rPr>
          <w:rFonts w:eastAsiaTheme="minorHAnsi"/>
          <w:lang w:eastAsia="en-US"/>
        </w:rPr>
        <w:t xml:space="preserve">. </w:t>
      </w:r>
      <w:r w:rsidR="006C7C6C">
        <w:rPr>
          <w:rFonts w:eastAsiaTheme="minorHAnsi"/>
          <w:lang w:eastAsia="en-US"/>
        </w:rPr>
        <w:t>Due to the item having been held in confidential session the majority of the discussion is</w:t>
      </w:r>
      <w:r w:rsidR="00F84CEE">
        <w:rPr>
          <w:rFonts w:eastAsiaTheme="minorHAnsi"/>
          <w:lang w:eastAsia="en-US"/>
        </w:rPr>
        <w:t xml:space="preserve"> not</w:t>
      </w:r>
      <w:r w:rsidR="006C7C6C">
        <w:rPr>
          <w:rFonts w:eastAsiaTheme="minorHAnsi"/>
          <w:lang w:eastAsia="en-US"/>
        </w:rPr>
        <w:t xml:space="preserve"> recounted in this report but will be available in the minutes of the meeting.</w:t>
      </w:r>
    </w:p>
    <w:p w:rsidR="00426D2A" w:rsidRDefault="006C7C6C" w:rsidP="00EE00E3">
      <w:pPr>
        <w:pStyle w:val="ListParagraph"/>
        <w:rPr>
          <w:rFonts w:eastAsiaTheme="minorHAnsi"/>
          <w:lang w:eastAsia="en-US"/>
        </w:rPr>
      </w:pPr>
      <w:r>
        <w:rPr>
          <w:rFonts w:eastAsiaTheme="minorHAnsi"/>
          <w:lang w:eastAsia="en-US"/>
        </w:rPr>
        <w:lastRenderedPageBreak/>
        <w:t>Having heard the presentation of the report the Panel’s area of focus was in relation to the Housing Group’</w:t>
      </w:r>
      <w:r w:rsidR="00426D2A">
        <w:rPr>
          <w:rFonts w:eastAsiaTheme="minorHAnsi"/>
          <w:lang w:eastAsia="en-US"/>
        </w:rPr>
        <w:t>s approach to sustainability issues. The Panel was assured to be informed that the Housing Group’s business plan already had factored in compliance with the requirements of the emerging Local Plan 2036, but that even since the development of the business plan considerations around improved levels sustainability had become more pressing</w:t>
      </w:r>
      <w:r w:rsidR="00DD22FC">
        <w:rPr>
          <w:rFonts w:eastAsiaTheme="minorHAnsi"/>
          <w:lang w:eastAsia="en-US"/>
        </w:rPr>
        <w:t xml:space="preserve"> and were being proactively assessed</w:t>
      </w:r>
      <w:r w:rsidR="00426D2A">
        <w:rPr>
          <w:rFonts w:eastAsiaTheme="minorHAnsi"/>
          <w:lang w:eastAsia="en-US"/>
        </w:rPr>
        <w:t>.</w:t>
      </w:r>
    </w:p>
    <w:p w:rsidR="00426D2A" w:rsidRDefault="00426D2A" w:rsidP="00426D2A">
      <w:pPr>
        <w:pStyle w:val="ListParagraph"/>
        <w:rPr>
          <w:rFonts w:eastAsiaTheme="minorHAnsi"/>
          <w:lang w:eastAsia="en-US"/>
        </w:rPr>
      </w:pPr>
      <w:r>
        <w:rPr>
          <w:rFonts w:eastAsiaTheme="minorHAnsi"/>
          <w:lang w:eastAsia="en-US"/>
        </w:rPr>
        <w:t>The Panel</w:t>
      </w:r>
      <w:r w:rsidR="006C7C6C">
        <w:rPr>
          <w:rFonts w:eastAsiaTheme="minorHAnsi"/>
          <w:lang w:eastAsia="en-US"/>
        </w:rPr>
        <w:t xml:space="preserve"> makes two recommendation</w:t>
      </w:r>
      <w:r>
        <w:rPr>
          <w:rFonts w:eastAsiaTheme="minorHAnsi"/>
          <w:lang w:eastAsia="en-US"/>
        </w:rPr>
        <w:t>s</w:t>
      </w:r>
      <w:r w:rsidR="00F84CEE">
        <w:rPr>
          <w:rFonts w:eastAsiaTheme="minorHAnsi"/>
          <w:lang w:eastAsia="en-US"/>
        </w:rPr>
        <w:t xml:space="preserve"> concerning housing efficiency and sustainability</w:t>
      </w:r>
      <w:r w:rsidR="00DD22FC">
        <w:rPr>
          <w:rFonts w:eastAsiaTheme="minorHAnsi"/>
          <w:lang w:eastAsia="en-US"/>
        </w:rPr>
        <w:t>.</w:t>
      </w:r>
    </w:p>
    <w:p w:rsidR="00DD22FC" w:rsidRPr="00DD22FC" w:rsidRDefault="00DD22FC" w:rsidP="00DD22FC">
      <w:pPr>
        <w:pStyle w:val="ListParagraph"/>
        <w:numPr>
          <w:ilvl w:val="0"/>
          <w:numId w:val="0"/>
        </w:numPr>
        <w:ind w:left="360"/>
        <w:rPr>
          <w:rFonts w:eastAsiaTheme="minorHAnsi"/>
          <w:lang w:eastAsia="en-US"/>
        </w:rPr>
      </w:pPr>
    </w:p>
    <w:p w:rsidR="00426D2A" w:rsidRPr="00DD22FC" w:rsidRDefault="00DD22FC" w:rsidP="00426D2A">
      <w:pPr>
        <w:rPr>
          <w:rFonts w:eastAsiaTheme="minorHAnsi"/>
          <w:b/>
          <w:lang w:eastAsia="en-US"/>
        </w:rPr>
      </w:pPr>
      <w:r w:rsidRPr="00DD22FC">
        <w:rPr>
          <w:rFonts w:eastAsiaTheme="minorHAnsi"/>
          <w:b/>
          <w:lang w:eastAsia="en-US"/>
        </w:rPr>
        <w:t>Housing Efficiency and Sustainability</w:t>
      </w:r>
    </w:p>
    <w:p w:rsidR="00EE00E3" w:rsidRDefault="00DD22FC" w:rsidP="00EE00E3">
      <w:pPr>
        <w:pStyle w:val="ListParagraph"/>
        <w:rPr>
          <w:rFonts w:eastAsiaTheme="minorHAnsi"/>
          <w:lang w:eastAsia="en-US"/>
        </w:rPr>
      </w:pPr>
      <w:r>
        <w:rPr>
          <w:rFonts w:eastAsiaTheme="minorHAnsi"/>
          <w:lang w:eastAsia="en-US"/>
        </w:rPr>
        <w:t xml:space="preserve">Discussion took place about the potential for improved levels of sustainability within the houses built by the Housing Company. It was reported that it was clearly possible to improve the levels of efficiency </w:t>
      </w:r>
      <w:r w:rsidR="0009427F">
        <w:rPr>
          <w:rFonts w:eastAsiaTheme="minorHAnsi"/>
          <w:lang w:eastAsia="en-US"/>
        </w:rPr>
        <w:t>of homes built by the Housing Company. The information which was lacking was on the financial impact of doing so, which made it difficult to understand the impact on the Council’s other priorities for the Housing Company – delivery of 50% social housing whilst also making returns to the Council. As part of its response to the Citizens’ Assembly the Council had agreed to develop a net-zero pilot site in Oxford, which would possibly be developed by the Housing Company. The learning from that would help inform discussions of how the Housing Company might further</w:t>
      </w:r>
      <w:r w:rsidR="00EE00E3">
        <w:rPr>
          <w:rFonts w:eastAsiaTheme="minorHAnsi"/>
          <w:lang w:eastAsia="en-US"/>
        </w:rPr>
        <w:t xml:space="preserve"> </w:t>
      </w:r>
      <w:r w:rsidR="0009427F">
        <w:rPr>
          <w:rFonts w:eastAsiaTheme="minorHAnsi"/>
          <w:lang w:eastAsia="en-US"/>
        </w:rPr>
        <w:t xml:space="preserve">improve the efficiency standards of its builds. This information was not anticipated to be ready for six months. </w:t>
      </w:r>
    </w:p>
    <w:p w:rsidR="0009427F" w:rsidRDefault="0009427F" w:rsidP="00EE00E3">
      <w:pPr>
        <w:pStyle w:val="ListParagraph"/>
        <w:rPr>
          <w:rFonts w:eastAsiaTheme="minorHAnsi"/>
          <w:lang w:eastAsia="en-US"/>
        </w:rPr>
      </w:pPr>
      <w:r>
        <w:rPr>
          <w:rFonts w:eastAsiaTheme="minorHAnsi"/>
          <w:lang w:eastAsia="en-US"/>
        </w:rPr>
        <w:t xml:space="preserve">The Panel recognises that the Council is seeking to achieve multiple corporate priorities through its Housing Company, and that there are times when there may be trade-offs between those different priorities. In such an event it is felt that it is important to be data-led, and that the </w:t>
      </w:r>
      <w:r w:rsidR="00EE41F2">
        <w:rPr>
          <w:rFonts w:eastAsiaTheme="minorHAnsi"/>
          <w:lang w:eastAsia="en-US"/>
        </w:rPr>
        <w:t>Shareholder and Joint Venture Group</w:t>
      </w:r>
      <w:r>
        <w:rPr>
          <w:rFonts w:eastAsiaTheme="minorHAnsi"/>
          <w:lang w:eastAsia="en-US"/>
        </w:rPr>
        <w:t xml:space="preserve"> should consider a scenario-planning document based on the learning from the net-zero pilot site and any other information</w:t>
      </w:r>
      <w:r w:rsidR="00EE41F2">
        <w:rPr>
          <w:rFonts w:eastAsiaTheme="minorHAnsi"/>
          <w:lang w:eastAsia="en-US"/>
        </w:rPr>
        <w:t xml:space="preserve"> available on the implications on returns to the Council and the number of affordable homes delivered of various levels of improvements to energy efficiency.</w:t>
      </w:r>
    </w:p>
    <w:p w:rsidR="00DD22FC" w:rsidRPr="00126316" w:rsidRDefault="00EE41F2" w:rsidP="00126316">
      <w:pPr>
        <w:pStyle w:val="ListParagraph"/>
        <w:numPr>
          <w:ilvl w:val="0"/>
          <w:numId w:val="0"/>
        </w:numPr>
        <w:ind w:left="360"/>
        <w:rPr>
          <w:b/>
          <w:noProof/>
        </w:rPr>
      </w:pPr>
      <w:r>
        <w:rPr>
          <w:b/>
          <w:noProof/>
        </w:rPr>
        <w:t>Recommendation 1: That the Shareholder and Joint Venture Group considers a report, when suitable data is available,</w:t>
      </w:r>
      <w:r w:rsidRPr="00EE41F2">
        <w:rPr>
          <w:b/>
          <w:noProof/>
        </w:rPr>
        <w:t xml:space="preserve"> detailing</w:t>
      </w:r>
      <w:r w:rsidR="00F84CEE">
        <w:rPr>
          <w:b/>
          <w:noProof/>
        </w:rPr>
        <w:t xml:space="preserve"> the</w:t>
      </w:r>
      <w:r w:rsidRPr="00EE41F2">
        <w:rPr>
          <w:b/>
          <w:noProof/>
        </w:rPr>
        <w:t xml:space="preserve"> impacts of </w:t>
      </w:r>
      <w:r w:rsidR="00126316">
        <w:rPr>
          <w:b/>
          <w:noProof/>
        </w:rPr>
        <w:t>the Housing Company building to differing</w:t>
      </w:r>
      <w:r w:rsidRPr="00EE41F2">
        <w:rPr>
          <w:b/>
          <w:noProof/>
        </w:rPr>
        <w:t xml:space="preserve"> levels of energy-efficiency, particularly with reference to the potential impact on returns to the Council and the proportion of social housing delivered.</w:t>
      </w:r>
    </w:p>
    <w:p w:rsidR="00126316" w:rsidRDefault="00126316" w:rsidP="00EE00E3">
      <w:pPr>
        <w:pStyle w:val="ListParagraph"/>
        <w:rPr>
          <w:rFonts w:eastAsiaTheme="minorHAnsi"/>
          <w:lang w:eastAsia="en-US"/>
        </w:rPr>
      </w:pPr>
      <w:r>
        <w:rPr>
          <w:rFonts w:eastAsiaTheme="minorHAnsi"/>
          <w:lang w:eastAsia="en-US"/>
        </w:rPr>
        <w:t xml:space="preserve">The Panel has previously made comments about the desirability of mechanisms to invest money spent by tenants of Council homes on heating into improvements in energy </w:t>
      </w:r>
      <w:r w:rsidRPr="005E1ACD">
        <w:rPr>
          <w:rFonts w:eastAsiaTheme="minorHAnsi"/>
          <w:color w:val="auto"/>
          <w:lang w:eastAsia="en-US"/>
        </w:rPr>
        <w:t xml:space="preserve">efficiency instead. This is a view which has also been supported by the Climate Emergency Review Group, which favourably considered the Energiesprong </w:t>
      </w:r>
      <w:r w:rsidR="004D7A91" w:rsidRPr="005E1ACD">
        <w:rPr>
          <w:rFonts w:eastAsiaTheme="minorHAnsi"/>
          <w:color w:val="auto"/>
          <w:lang w:eastAsia="en-US"/>
        </w:rPr>
        <w:t xml:space="preserve">(“Energy Leap” in Dutch) </w:t>
      </w:r>
      <w:r w:rsidRPr="005E1ACD">
        <w:rPr>
          <w:rFonts w:eastAsiaTheme="minorHAnsi"/>
          <w:color w:val="auto"/>
          <w:lang w:eastAsia="en-US"/>
        </w:rPr>
        <w:t>model implemented by Nottingham City Homes. It is the su</w:t>
      </w:r>
      <w:r w:rsidR="00A56561" w:rsidRPr="005E1ACD">
        <w:rPr>
          <w:rFonts w:eastAsiaTheme="minorHAnsi"/>
          <w:color w:val="auto"/>
          <w:lang w:eastAsia="en-US"/>
        </w:rPr>
        <w:t>ggestion of the Panel that it should be</w:t>
      </w:r>
      <w:r w:rsidRPr="005E1ACD">
        <w:rPr>
          <w:rFonts w:eastAsiaTheme="minorHAnsi"/>
          <w:color w:val="auto"/>
          <w:lang w:eastAsia="en-US"/>
        </w:rPr>
        <w:t xml:space="preserve"> possible to </w:t>
      </w:r>
      <w:r w:rsidR="00A56561" w:rsidRPr="005E1ACD">
        <w:rPr>
          <w:rFonts w:eastAsiaTheme="minorHAnsi"/>
          <w:color w:val="auto"/>
          <w:lang w:eastAsia="en-US"/>
        </w:rPr>
        <w:t>determine</w:t>
      </w:r>
      <w:r w:rsidRPr="005E1ACD">
        <w:rPr>
          <w:rFonts w:eastAsiaTheme="minorHAnsi"/>
          <w:color w:val="auto"/>
          <w:lang w:eastAsia="en-US"/>
        </w:rPr>
        <w:t xml:space="preserve"> a level of capitalisation such that </w:t>
      </w:r>
      <w:r w:rsidR="00F84CEE" w:rsidRPr="005E1ACD">
        <w:rPr>
          <w:rFonts w:eastAsiaTheme="minorHAnsi"/>
          <w:color w:val="auto"/>
          <w:lang w:eastAsia="en-US"/>
        </w:rPr>
        <w:t>a meaningful amount</w:t>
      </w:r>
      <w:r w:rsidRPr="005E1ACD">
        <w:rPr>
          <w:rFonts w:eastAsiaTheme="minorHAnsi"/>
          <w:color w:val="auto"/>
          <w:lang w:eastAsia="en-US"/>
        </w:rPr>
        <w:t xml:space="preserve"> of money spent on heating </w:t>
      </w:r>
      <w:r w:rsidR="00A56561" w:rsidRPr="005E1ACD">
        <w:rPr>
          <w:rFonts w:eastAsiaTheme="minorHAnsi"/>
          <w:color w:val="auto"/>
          <w:lang w:eastAsia="en-US"/>
        </w:rPr>
        <w:t>is invested</w:t>
      </w:r>
      <w:r w:rsidRPr="005E1ACD">
        <w:rPr>
          <w:rFonts w:eastAsiaTheme="minorHAnsi"/>
          <w:color w:val="auto"/>
          <w:lang w:eastAsia="en-US"/>
        </w:rPr>
        <w:t xml:space="preserve"> in energy efficiency</w:t>
      </w:r>
      <w:r w:rsidR="00A56561" w:rsidRPr="005E1ACD">
        <w:rPr>
          <w:rFonts w:eastAsiaTheme="minorHAnsi"/>
          <w:color w:val="auto"/>
          <w:lang w:eastAsia="en-US"/>
        </w:rPr>
        <w:t xml:space="preserve"> measures</w:t>
      </w:r>
      <w:r w:rsidRPr="005E1ACD">
        <w:rPr>
          <w:rFonts w:eastAsiaTheme="minorHAnsi"/>
          <w:color w:val="auto"/>
          <w:lang w:eastAsia="en-US"/>
        </w:rPr>
        <w:t>, whilst also providing a</w:t>
      </w:r>
      <w:r w:rsidR="00A56561" w:rsidRPr="005E1ACD">
        <w:rPr>
          <w:rFonts w:eastAsiaTheme="minorHAnsi"/>
          <w:color w:val="auto"/>
          <w:lang w:eastAsia="en-US"/>
        </w:rPr>
        <w:t xml:space="preserve"> clear</w:t>
      </w:r>
      <w:r w:rsidRPr="005E1ACD">
        <w:rPr>
          <w:rFonts w:eastAsiaTheme="minorHAnsi"/>
          <w:color w:val="auto"/>
          <w:lang w:eastAsia="en-US"/>
        </w:rPr>
        <w:t xml:space="preserve"> benefit </w:t>
      </w:r>
      <w:r w:rsidR="00A56561" w:rsidRPr="005E1ACD">
        <w:rPr>
          <w:rFonts w:eastAsiaTheme="minorHAnsi"/>
          <w:color w:val="auto"/>
          <w:lang w:eastAsia="en-US"/>
        </w:rPr>
        <w:t>to tenants through reduced bills.</w:t>
      </w:r>
      <w:r w:rsidR="004D7A91" w:rsidRPr="005E1ACD">
        <w:rPr>
          <w:rFonts w:eastAsiaTheme="minorHAnsi"/>
          <w:color w:val="auto"/>
          <w:lang w:eastAsia="en-US"/>
        </w:rPr>
        <w:t xml:space="preserve"> The Nottingham model claims a 30 year payback on retrofitting existing housing stock. The payback would period be significantly shorter when Energiespong is applied to newbuild housing stock.</w:t>
      </w:r>
    </w:p>
    <w:p w:rsidR="00AE00D6" w:rsidRPr="00534D9C" w:rsidRDefault="00A56561" w:rsidP="00AE00D6">
      <w:pPr>
        <w:pStyle w:val="ListParagraph"/>
        <w:numPr>
          <w:ilvl w:val="0"/>
          <w:numId w:val="0"/>
        </w:numPr>
        <w:ind w:left="360"/>
        <w:rPr>
          <w:rFonts w:eastAsiaTheme="minorHAnsi"/>
          <w:b/>
          <w:lang w:eastAsia="en-US"/>
        </w:rPr>
      </w:pPr>
      <w:r>
        <w:rPr>
          <w:b/>
          <w:noProof/>
        </w:rPr>
        <w:lastRenderedPageBreak/>
        <w:t>Recommendation 2</w:t>
      </w:r>
      <w:r w:rsidR="00534D9C">
        <w:rPr>
          <w:b/>
          <w:noProof/>
        </w:rPr>
        <w:t xml:space="preserve">: </w:t>
      </w:r>
      <w:r w:rsidR="00AE00D6">
        <w:rPr>
          <w:b/>
          <w:noProof/>
        </w:rPr>
        <w:t xml:space="preserve">That the Shareholder and Joint Venture Group </w:t>
      </w:r>
      <w:r>
        <w:rPr>
          <w:b/>
          <w:noProof/>
        </w:rPr>
        <w:t>seeks the Housing Company to outline a model through which tenant spending on heating can instead be invested in energy-efficiency measures, and which balances the cost of delivering any such measures with the need to provide tangible reductions in heating bills to tenants.</w:t>
      </w:r>
    </w:p>
    <w:p w:rsidR="008139D7" w:rsidRDefault="008139D7" w:rsidP="00AE00D6">
      <w:pPr>
        <w:pStyle w:val="ListParagraph"/>
        <w:numPr>
          <w:ilvl w:val="0"/>
          <w:numId w:val="0"/>
        </w:numPr>
        <w:ind w:left="360"/>
        <w:rPr>
          <w:b/>
          <w:color w:val="auto"/>
        </w:rPr>
      </w:pPr>
    </w:p>
    <w:p w:rsidR="005C7E85" w:rsidRDefault="008139D7" w:rsidP="008139D7">
      <w:pPr>
        <w:spacing w:after="0"/>
        <w:rPr>
          <w:b/>
          <w:color w:val="auto"/>
        </w:rPr>
      </w:pPr>
      <w:r w:rsidRPr="006A5C65">
        <w:rPr>
          <w:b/>
          <w:color w:val="auto"/>
        </w:rPr>
        <w:t xml:space="preserve">Further Consideration </w:t>
      </w:r>
    </w:p>
    <w:p w:rsidR="008139D7" w:rsidRPr="008139D7" w:rsidRDefault="008139D7" w:rsidP="008139D7">
      <w:pPr>
        <w:spacing w:after="0"/>
        <w:rPr>
          <w:b/>
          <w:color w:val="auto"/>
        </w:rPr>
      </w:pPr>
    </w:p>
    <w:p w:rsidR="00283B69" w:rsidRPr="00575235" w:rsidRDefault="00A56561" w:rsidP="00A566D0">
      <w:pPr>
        <w:pStyle w:val="bParagraphtext"/>
        <w:rPr>
          <w:rFonts w:eastAsiaTheme="minorHAnsi"/>
          <w:lang w:eastAsia="en-US"/>
        </w:rPr>
      </w:pPr>
      <w:r>
        <w:rPr>
          <w:rFonts w:eastAsiaTheme="minorHAnsi"/>
          <w:lang w:eastAsia="en-US"/>
        </w:rPr>
        <w:t>Should the recommendations above be adopted, the Panel looks forward to considering the reports when they are available.</w:t>
      </w:r>
    </w:p>
    <w:p w:rsidR="00E206D6" w:rsidRPr="00575235" w:rsidRDefault="00E206D6" w:rsidP="00575235">
      <w:pPr>
        <w:rPr>
          <w:rFonts w:cs="Arial"/>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402"/>
        <w:gridCol w:w="5812"/>
      </w:tblGrid>
      <w:tr w:rsidR="00DF093E" w:rsidRPr="00575235" w:rsidTr="00A566D0">
        <w:trPr>
          <w:cantSplit/>
          <w:trHeight w:val="396"/>
        </w:trPr>
        <w:tc>
          <w:tcPr>
            <w:tcW w:w="3402" w:type="dxa"/>
            <w:tcBorders>
              <w:top w:val="single" w:sz="8" w:space="0" w:color="000000"/>
              <w:left w:val="single" w:sz="8" w:space="0" w:color="000000"/>
              <w:bottom w:val="single" w:sz="8" w:space="0" w:color="000000"/>
              <w:right w:val="nil"/>
            </w:tcBorders>
            <w:shd w:val="clear" w:color="auto" w:fill="auto"/>
          </w:tcPr>
          <w:p w:rsidR="00E87F7A" w:rsidRPr="00575235" w:rsidRDefault="00E87F7A" w:rsidP="00A46E98">
            <w:pPr>
              <w:rPr>
                <w:rFonts w:cs="Arial"/>
                <w:b/>
              </w:rPr>
            </w:pPr>
            <w:r w:rsidRPr="00575235">
              <w:rPr>
                <w:rFonts w:cs="Arial"/>
                <w:b/>
              </w:rPr>
              <w:t>Report author</w:t>
            </w:r>
          </w:p>
        </w:tc>
        <w:tc>
          <w:tcPr>
            <w:tcW w:w="5812" w:type="dxa"/>
            <w:tcBorders>
              <w:top w:val="single" w:sz="8" w:space="0" w:color="000000"/>
              <w:left w:val="nil"/>
              <w:bottom w:val="single" w:sz="8" w:space="0" w:color="000000"/>
              <w:right w:val="single" w:sz="8" w:space="0" w:color="000000"/>
            </w:tcBorders>
            <w:shd w:val="clear" w:color="auto" w:fill="auto"/>
          </w:tcPr>
          <w:p w:rsidR="00E87F7A" w:rsidRPr="00575235" w:rsidRDefault="00EC1A61" w:rsidP="00A46E98">
            <w:pPr>
              <w:rPr>
                <w:rFonts w:cs="Arial"/>
              </w:rPr>
            </w:pPr>
            <w:r>
              <w:rPr>
                <w:rFonts w:cs="Arial"/>
              </w:rPr>
              <w:t>Tom Hudson</w:t>
            </w:r>
          </w:p>
        </w:tc>
      </w:tr>
      <w:tr w:rsidR="00DF093E" w:rsidRPr="00575235" w:rsidTr="00A566D0">
        <w:trPr>
          <w:cantSplit/>
          <w:trHeight w:val="396"/>
        </w:trPr>
        <w:tc>
          <w:tcPr>
            <w:tcW w:w="3402" w:type="dxa"/>
            <w:tcBorders>
              <w:top w:val="nil"/>
              <w:left w:val="single" w:sz="8" w:space="0" w:color="000000"/>
              <w:bottom w:val="nil"/>
              <w:right w:val="nil"/>
            </w:tcBorders>
            <w:shd w:val="clear" w:color="auto" w:fill="auto"/>
          </w:tcPr>
          <w:p w:rsidR="002A2D09" w:rsidRDefault="002A2D09" w:rsidP="00A46E98">
            <w:pPr>
              <w:rPr>
                <w:rFonts w:cs="Arial"/>
              </w:rPr>
            </w:pPr>
            <w:r>
              <w:rPr>
                <w:rFonts w:cs="Arial"/>
              </w:rPr>
              <w:t>Job title</w:t>
            </w:r>
          </w:p>
          <w:p w:rsidR="002A2D09" w:rsidRDefault="002A2D09" w:rsidP="00A46E98">
            <w:pPr>
              <w:rPr>
                <w:rFonts w:cs="Arial"/>
              </w:rPr>
            </w:pPr>
            <w:r>
              <w:rPr>
                <w:rFonts w:cs="Arial"/>
              </w:rPr>
              <w:t>Service area or department</w:t>
            </w:r>
          </w:p>
          <w:p w:rsidR="00E87F7A" w:rsidRPr="00575235" w:rsidRDefault="00E87F7A" w:rsidP="00A46E98">
            <w:pPr>
              <w:rPr>
                <w:rFonts w:cs="Arial"/>
              </w:rPr>
            </w:pPr>
            <w:r w:rsidRPr="00575235">
              <w:rPr>
                <w:rFonts w:cs="Arial"/>
              </w:rPr>
              <w:t xml:space="preserve">Telephone </w:t>
            </w:r>
          </w:p>
        </w:tc>
        <w:tc>
          <w:tcPr>
            <w:tcW w:w="5812" w:type="dxa"/>
            <w:tcBorders>
              <w:top w:val="nil"/>
              <w:left w:val="nil"/>
              <w:bottom w:val="nil"/>
              <w:right w:val="single" w:sz="8" w:space="0" w:color="000000"/>
            </w:tcBorders>
            <w:shd w:val="clear" w:color="auto" w:fill="auto"/>
          </w:tcPr>
          <w:p w:rsidR="002A2D09" w:rsidRDefault="00EC1A61" w:rsidP="00922669">
            <w:pPr>
              <w:rPr>
                <w:rFonts w:cs="Arial"/>
              </w:rPr>
            </w:pPr>
            <w:r>
              <w:rPr>
                <w:rFonts w:cs="Arial"/>
              </w:rPr>
              <w:t>Scrutiny Officer</w:t>
            </w:r>
          </w:p>
          <w:p w:rsidR="002A2D09" w:rsidRDefault="00EC1A61" w:rsidP="00922669">
            <w:pPr>
              <w:rPr>
                <w:rFonts w:cs="Arial"/>
              </w:rPr>
            </w:pPr>
            <w:r>
              <w:rPr>
                <w:rFonts w:cs="Arial"/>
              </w:rPr>
              <w:t>Law and Governance</w:t>
            </w:r>
          </w:p>
          <w:p w:rsidR="00E87F7A" w:rsidRPr="00575235" w:rsidRDefault="00FE0854" w:rsidP="00922669">
            <w:pPr>
              <w:rPr>
                <w:rFonts w:cs="Arial"/>
              </w:rPr>
            </w:pPr>
            <w:r w:rsidRPr="00575235">
              <w:rPr>
                <w:rFonts w:cs="Arial"/>
              </w:rPr>
              <w:t>0</w:t>
            </w:r>
            <w:r w:rsidR="00922669" w:rsidRPr="00575235">
              <w:rPr>
                <w:rFonts w:cs="Arial"/>
              </w:rPr>
              <w:t>1865 25</w:t>
            </w:r>
            <w:r w:rsidR="00EC1A61">
              <w:rPr>
                <w:rFonts w:cs="Arial"/>
              </w:rPr>
              <w:t>2191</w:t>
            </w:r>
          </w:p>
        </w:tc>
      </w:tr>
      <w:tr w:rsidR="005570B5" w:rsidRPr="00575235" w:rsidTr="00A566D0">
        <w:trPr>
          <w:cantSplit/>
          <w:trHeight w:val="396"/>
        </w:trPr>
        <w:tc>
          <w:tcPr>
            <w:tcW w:w="3402" w:type="dxa"/>
            <w:tcBorders>
              <w:top w:val="nil"/>
              <w:left w:val="single" w:sz="8" w:space="0" w:color="000000"/>
              <w:bottom w:val="single" w:sz="8" w:space="0" w:color="000000"/>
              <w:right w:val="nil"/>
            </w:tcBorders>
            <w:shd w:val="clear" w:color="auto" w:fill="auto"/>
          </w:tcPr>
          <w:p w:rsidR="00E87F7A" w:rsidRPr="00575235" w:rsidRDefault="00E87F7A" w:rsidP="00A46E98">
            <w:pPr>
              <w:rPr>
                <w:rFonts w:cs="Arial"/>
              </w:rPr>
            </w:pPr>
            <w:r w:rsidRPr="00575235">
              <w:rPr>
                <w:rFonts w:cs="Arial"/>
              </w:rPr>
              <w:t xml:space="preserve">e-mail </w:t>
            </w:r>
          </w:p>
        </w:tc>
        <w:tc>
          <w:tcPr>
            <w:tcW w:w="5812" w:type="dxa"/>
            <w:tcBorders>
              <w:top w:val="nil"/>
              <w:left w:val="nil"/>
              <w:bottom w:val="single" w:sz="8" w:space="0" w:color="000000"/>
              <w:right w:val="single" w:sz="8" w:space="0" w:color="000000"/>
            </w:tcBorders>
            <w:shd w:val="clear" w:color="auto" w:fill="auto"/>
          </w:tcPr>
          <w:p w:rsidR="00E87F7A" w:rsidRPr="00575235" w:rsidRDefault="00B61AF9" w:rsidP="00922669">
            <w:pPr>
              <w:rPr>
                <w:rStyle w:val="Hyperlink"/>
                <w:rFonts w:cs="Arial"/>
                <w:color w:val="000000"/>
              </w:rPr>
            </w:pPr>
            <w:hyperlink r:id="rId9" w:history="1">
              <w:r w:rsidR="00EC1A61" w:rsidRPr="001E5332">
                <w:rPr>
                  <w:rStyle w:val="Hyperlink"/>
                  <w:rFonts w:cs="Arial"/>
                </w:rPr>
                <w:t>thudson@oxford.gov.uk</w:t>
              </w:r>
            </w:hyperlink>
            <w:r w:rsidR="00A566D0">
              <w:rPr>
                <w:rStyle w:val="Hyperlink"/>
                <w:rFonts w:cs="Arial"/>
                <w:color w:val="000000"/>
              </w:rPr>
              <w:t xml:space="preserve">  </w:t>
            </w:r>
          </w:p>
        </w:tc>
      </w:tr>
    </w:tbl>
    <w:p w:rsidR="00AE00D6" w:rsidRDefault="00AE00D6" w:rsidP="002F68CC">
      <w:pPr>
        <w:jc w:val="both"/>
        <w:rPr>
          <w:rFonts w:cs="Arial"/>
        </w:rPr>
      </w:pPr>
    </w:p>
    <w:p w:rsidR="00AE00D6" w:rsidRDefault="00AE00D6" w:rsidP="002F68CC">
      <w:pPr>
        <w:jc w:val="both"/>
        <w:rPr>
          <w:rFonts w:cs="Arial"/>
        </w:rPr>
        <w:sectPr w:rsidR="00AE00D6" w:rsidSect="00A566D0">
          <w:footerReference w:type="even" r:id="rId10"/>
          <w:footerReference w:type="default" r:id="rId11"/>
          <w:headerReference w:type="first" r:id="rId12"/>
          <w:pgSz w:w="11906" w:h="16838" w:code="9"/>
          <w:pgMar w:top="1418" w:right="1304" w:bottom="1304" w:left="1304" w:header="851" w:footer="680" w:gutter="0"/>
          <w:cols w:space="708"/>
          <w:titlePg/>
          <w:docGrid w:linePitch="360"/>
        </w:sectPr>
      </w:pPr>
    </w:p>
    <w:p w:rsidR="00AE00D6" w:rsidRDefault="00AE00D6" w:rsidP="00AE00D6">
      <w:pPr>
        <w:rPr>
          <w:rFonts w:cs="Arial"/>
          <w:b/>
        </w:rPr>
      </w:pPr>
      <w:r>
        <w:rPr>
          <w:rFonts w:cs="Arial"/>
          <w:b/>
        </w:rPr>
        <w:lastRenderedPageBreak/>
        <w:t>Shareholder response to</w:t>
      </w:r>
      <w:r w:rsidRPr="00DE5736">
        <w:rPr>
          <w:rFonts w:cs="Arial"/>
          <w:b/>
        </w:rPr>
        <w:t xml:space="preserve"> </w:t>
      </w:r>
      <w:r w:rsidRPr="00D8335C">
        <w:rPr>
          <w:rFonts w:cs="Arial"/>
          <w:b/>
        </w:rPr>
        <w:t xml:space="preserve">recommendations of the </w:t>
      </w:r>
      <w:r>
        <w:rPr>
          <w:rFonts w:cs="Arial"/>
          <w:b/>
        </w:rPr>
        <w:t>Companies Scrutiny Panel</w:t>
      </w:r>
      <w:r w:rsidRPr="00D8335C">
        <w:rPr>
          <w:rFonts w:cs="Arial"/>
          <w:b/>
        </w:rPr>
        <w:t xml:space="preserve"> made on </w:t>
      </w:r>
      <w:r w:rsidR="00B61AF9">
        <w:rPr>
          <w:rFonts w:cs="Arial"/>
          <w:b/>
        </w:rPr>
        <w:t>12</w:t>
      </w:r>
      <w:bookmarkStart w:id="0" w:name="_GoBack"/>
      <w:bookmarkEnd w:id="0"/>
      <w:r w:rsidR="00FC4E9E">
        <w:rPr>
          <w:rFonts w:cs="Arial"/>
          <w:b/>
        </w:rPr>
        <w:t>/03/2020</w:t>
      </w:r>
      <w:r w:rsidRPr="00D8335C">
        <w:rPr>
          <w:rFonts w:cs="Arial"/>
          <w:b/>
        </w:rPr>
        <w:t xml:space="preserve"> concerning</w:t>
      </w:r>
      <w:r>
        <w:rPr>
          <w:rFonts w:cs="Arial"/>
          <w:b/>
        </w:rPr>
        <w:t xml:space="preserve"> </w:t>
      </w:r>
      <w:r w:rsidR="00FC4E9E">
        <w:rPr>
          <w:b/>
        </w:rPr>
        <w:t>the Housing Company Finance and Performance Report</w:t>
      </w:r>
    </w:p>
    <w:p w:rsidR="00AE00D6" w:rsidRDefault="00F97062" w:rsidP="00AE00D6">
      <w:pPr>
        <w:rPr>
          <w:rFonts w:cs="Arial"/>
          <w:b/>
        </w:rPr>
      </w:pPr>
      <w:r>
        <w:rPr>
          <w:rFonts w:cs="Arial"/>
          <w:b/>
        </w:rPr>
        <w:t>A verbal response will be p</w:t>
      </w:r>
      <w:r w:rsidR="00AE00D6">
        <w:rPr>
          <w:rFonts w:cs="Arial"/>
          <w:b/>
        </w:rPr>
        <w:t>rovided by Councillor Mike Rowley, Shareholder and Joint Venture Group member with responsibility for the Oxford Housing Group of Companies</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1134"/>
        <w:gridCol w:w="6520"/>
      </w:tblGrid>
      <w:tr w:rsidR="00AE00D6" w:rsidRPr="00AC577F" w:rsidTr="00EE41F2">
        <w:tc>
          <w:tcPr>
            <w:tcW w:w="6629" w:type="dxa"/>
            <w:shd w:val="clear" w:color="auto" w:fill="D9D9D9"/>
            <w:vAlign w:val="center"/>
          </w:tcPr>
          <w:p w:rsidR="00AE00D6" w:rsidRPr="00AC577F" w:rsidRDefault="00AE00D6" w:rsidP="00EE41F2">
            <w:pPr>
              <w:rPr>
                <w:rFonts w:cs="Arial"/>
                <w:b/>
                <w:i/>
              </w:rPr>
            </w:pPr>
            <w:r w:rsidRPr="00AC577F">
              <w:rPr>
                <w:rFonts w:cs="Arial"/>
                <w:b/>
                <w:i/>
              </w:rPr>
              <w:t>Recommendation</w:t>
            </w:r>
          </w:p>
        </w:tc>
        <w:tc>
          <w:tcPr>
            <w:tcW w:w="1134" w:type="dxa"/>
            <w:shd w:val="clear" w:color="auto" w:fill="D9D9D9"/>
            <w:vAlign w:val="center"/>
          </w:tcPr>
          <w:p w:rsidR="00AE00D6" w:rsidRPr="00AC577F" w:rsidRDefault="00AE00D6" w:rsidP="00EE41F2">
            <w:pPr>
              <w:rPr>
                <w:rFonts w:cs="Arial"/>
                <w:b/>
                <w:i/>
              </w:rPr>
            </w:pPr>
            <w:r w:rsidRPr="00AC577F">
              <w:rPr>
                <w:rFonts w:cs="Arial"/>
                <w:b/>
                <w:i/>
              </w:rPr>
              <w:t xml:space="preserve">Agree? </w:t>
            </w:r>
          </w:p>
        </w:tc>
        <w:tc>
          <w:tcPr>
            <w:tcW w:w="6520" w:type="dxa"/>
            <w:shd w:val="clear" w:color="auto" w:fill="D9D9D9"/>
            <w:vAlign w:val="center"/>
          </w:tcPr>
          <w:p w:rsidR="00AE00D6" w:rsidRPr="00AC577F" w:rsidRDefault="00AE00D6" w:rsidP="00EE41F2">
            <w:pPr>
              <w:rPr>
                <w:rFonts w:cs="Arial"/>
                <w:b/>
                <w:i/>
              </w:rPr>
            </w:pPr>
            <w:r w:rsidRPr="00AC577F">
              <w:rPr>
                <w:rFonts w:cs="Arial"/>
                <w:b/>
                <w:i/>
              </w:rPr>
              <w:t>Comment</w:t>
            </w:r>
          </w:p>
        </w:tc>
      </w:tr>
      <w:tr w:rsidR="00AE00D6" w:rsidRPr="00AC577F" w:rsidTr="00EE41F2">
        <w:trPr>
          <w:trHeight w:val="305"/>
        </w:trPr>
        <w:tc>
          <w:tcPr>
            <w:tcW w:w="6629" w:type="dxa"/>
            <w:shd w:val="clear" w:color="auto" w:fill="auto"/>
          </w:tcPr>
          <w:p w:rsidR="00AE00D6" w:rsidRPr="0013640C" w:rsidRDefault="00AE00D6" w:rsidP="00FC4E9E">
            <w:pPr>
              <w:numPr>
                <w:ilvl w:val="0"/>
                <w:numId w:val="49"/>
              </w:numPr>
              <w:spacing w:after="0"/>
              <w:rPr>
                <w:rFonts w:cs="Arial"/>
              </w:rPr>
            </w:pPr>
            <w:r>
              <w:rPr>
                <w:b/>
                <w:noProof/>
              </w:rPr>
              <w:t xml:space="preserve">That </w:t>
            </w:r>
            <w:r w:rsidR="00FC4E9E" w:rsidRPr="00FC4E9E">
              <w:rPr>
                <w:b/>
                <w:noProof/>
              </w:rPr>
              <w:t>the Shareholder and Joint Venture Group seeks the Housing Company to outline a model through which tenant spending on heating can instead be invested in energy-efficiency measures, and which balances the cost of delivering any such measures with the need to provide tangible reductions in heating bills to tenants.</w:t>
            </w:r>
          </w:p>
        </w:tc>
        <w:tc>
          <w:tcPr>
            <w:tcW w:w="1134" w:type="dxa"/>
            <w:shd w:val="clear" w:color="auto" w:fill="auto"/>
          </w:tcPr>
          <w:p w:rsidR="00AE00D6" w:rsidRPr="00AC577F" w:rsidRDefault="00AE00D6" w:rsidP="00EE41F2">
            <w:pPr>
              <w:rPr>
                <w:rFonts w:cs="Arial"/>
              </w:rPr>
            </w:pPr>
          </w:p>
        </w:tc>
        <w:tc>
          <w:tcPr>
            <w:tcW w:w="6520" w:type="dxa"/>
            <w:shd w:val="clear" w:color="auto" w:fill="auto"/>
          </w:tcPr>
          <w:p w:rsidR="00AE00D6" w:rsidRPr="00AC577F" w:rsidRDefault="00AE00D6" w:rsidP="00EE41F2">
            <w:pPr>
              <w:rPr>
                <w:rFonts w:cs="Arial"/>
              </w:rPr>
            </w:pPr>
          </w:p>
        </w:tc>
      </w:tr>
      <w:tr w:rsidR="00FC4E9E" w:rsidRPr="00AC577F" w:rsidTr="00FC4E9E">
        <w:trPr>
          <w:trHeight w:val="305"/>
        </w:trPr>
        <w:tc>
          <w:tcPr>
            <w:tcW w:w="6629" w:type="dxa"/>
            <w:tcBorders>
              <w:top w:val="single" w:sz="4" w:space="0" w:color="auto"/>
              <w:left w:val="single" w:sz="4" w:space="0" w:color="auto"/>
              <w:bottom w:val="single" w:sz="4" w:space="0" w:color="auto"/>
              <w:right w:val="single" w:sz="4" w:space="0" w:color="auto"/>
            </w:tcBorders>
            <w:shd w:val="clear" w:color="auto" w:fill="auto"/>
          </w:tcPr>
          <w:p w:rsidR="00FC4E9E" w:rsidRPr="00FC4E9E" w:rsidRDefault="00FC4E9E" w:rsidP="00FC4E9E">
            <w:pPr>
              <w:numPr>
                <w:ilvl w:val="0"/>
                <w:numId w:val="49"/>
              </w:numPr>
              <w:spacing w:after="0"/>
              <w:rPr>
                <w:b/>
                <w:noProof/>
              </w:rPr>
            </w:pPr>
            <w:r>
              <w:rPr>
                <w:b/>
                <w:noProof/>
              </w:rPr>
              <w:t>That the Shareholder and Joint Venture Group considers a report, when suitable data is available,</w:t>
            </w:r>
            <w:r w:rsidRPr="00EE41F2">
              <w:rPr>
                <w:b/>
                <w:noProof/>
              </w:rPr>
              <w:t xml:space="preserve"> detailing</w:t>
            </w:r>
            <w:r>
              <w:rPr>
                <w:b/>
                <w:noProof/>
              </w:rPr>
              <w:t xml:space="preserve"> the</w:t>
            </w:r>
            <w:r w:rsidRPr="00EE41F2">
              <w:rPr>
                <w:b/>
                <w:noProof/>
              </w:rPr>
              <w:t xml:space="preserve"> impacts of </w:t>
            </w:r>
            <w:r>
              <w:rPr>
                <w:b/>
                <w:noProof/>
              </w:rPr>
              <w:t>the Housing Company building to differing</w:t>
            </w:r>
            <w:r w:rsidRPr="00EE41F2">
              <w:rPr>
                <w:b/>
                <w:noProof/>
              </w:rPr>
              <w:t xml:space="preserve"> levels of energy-efficiency, particularly with reference to the potential impact on returns to the Council and the proportion of social housing delivered.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4E9E" w:rsidRPr="00AC577F" w:rsidRDefault="00FC4E9E" w:rsidP="00F4534B">
            <w:pPr>
              <w:rPr>
                <w:rFonts w:cs="Arial"/>
              </w:rPr>
            </w:pP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FC4E9E" w:rsidRPr="00AC577F" w:rsidRDefault="00FC4E9E" w:rsidP="00F4534B">
            <w:pPr>
              <w:rPr>
                <w:rFonts w:cs="Arial"/>
              </w:rPr>
            </w:pPr>
          </w:p>
        </w:tc>
      </w:tr>
    </w:tbl>
    <w:p w:rsidR="00AE00D6" w:rsidRPr="000947DC" w:rsidRDefault="00AE00D6" w:rsidP="002F68CC">
      <w:pPr>
        <w:jc w:val="both"/>
        <w:rPr>
          <w:rFonts w:cs="Arial"/>
        </w:rPr>
      </w:pPr>
    </w:p>
    <w:sectPr w:rsidR="00AE00D6" w:rsidRPr="000947DC" w:rsidSect="00AE00D6">
      <w:headerReference w:type="first" r:id="rId13"/>
      <w:pgSz w:w="16838" w:h="11906" w:orient="landscape" w:code="9"/>
      <w:pgMar w:top="1304" w:right="1418" w:bottom="1304" w:left="1304" w:header="85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945" w:rsidRDefault="00306945" w:rsidP="004A6D2F">
      <w:r>
        <w:separator/>
      </w:r>
    </w:p>
  </w:endnote>
  <w:endnote w:type="continuationSeparator" w:id="0">
    <w:p w:rsidR="00306945" w:rsidRDefault="00306945"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F2" w:rsidRDefault="00EE41F2" w:rsidP="004A6D2F">
    <w:pPr>
      <w:pStyle w:val="Footer"/>
    </w:pPr>
    <w:r>
      <w:t>Do not use a footer or page numbers.</w:t>
    </w:r>
  </w:p>
  <w:p w:rsidR="00EE41F2" w:rsidRDefault="00EE41F2" w:rsidP="004A6D2F">
    <w:pPr>
      <w:pStyle w:val="Footer"/>
    </w:pPr>
  </w:p>
  <w:p w:rsidR="00EE41F2" w:rsidRDefault="00EE41F2" w:rsidP="004A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F2" w:rsidRDefault="00EE41F2">
    <w:pPr>
      <w:pStyle w:val="Footer"/>
      <w:jc w:val="right"/>
    </w:pPr>
  </w:p>
  <w:p w:rsidR="00EE41F2" w:rsidRDefault="00EE4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945" w:rsidRDefault="00306945" w:rsidP="004A6D2F">
      <w:r>
        <w:separator/>
      </w:r>
    </w:p>
  </w:footnote>
  <w:footnote w:type="continuationSeparator" w:id="0">
    <w:p w:rsidR="00306945" w:rsidRDefault="00306945"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F2" w:rsidRDefault="00EE41F2" w:rsidP="00D5547E">
    <w:pPr>
      <w:pStyle w:val="Header"/>
      <w:jc w:val="right"/>
    </w:pPr>
    <w:r>
      <w:rPr>
        <w:noProof/>
      </w:rPr>
      <w:drawing>
        <wp:inline distT="0" distB="0" distL="0" distR="0" wp14:anchorId="4EE03F51" wp14:editId="0BE9EAAF">
          <wp:extent cx="841375" cy="1116965"/>
          <wp:effectExtent l="0" t="0" r="0" b="6985"/>
          <wp:docPr id="2" name="Picture 2"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11169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1F2" w:rsidRDefault="00EE41F2" w:rsidP="00D5547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DA0"/>
    <w:multiLevelType w:val="hybridMultilevel"/>
    <w:tmpl w:val="CEE228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9E3847"/>
    <w:multiLevelType w:val="hybridMultilevel"/>
    <w:tmpl w:val="0B8A21DA"/>
    <w:lvl w:ilvl="0" w:tplc="DACAF2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8C30BB"/>
    <w:multiLevelType w:val="multilevel"/>
    <w:tmpl w:val="E67CE66C"/>
    <w:styleLink w:val="StyleNumberedLeft0cmHanging075cm"/>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774243B"/>
    <w:multiLevelType w:val="hybridMultilevel"/>
    <w:tmpl w:val="F1B67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C5F5D71"/>
    <w:multiLevelType w:val="hybridMultilevel"/>
    <w:tmpl w:val="789C7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5B474D"/>
    <w:multiLevelType w:val="hybridMultilevel"/>
    <w:tmpl w:val="958A6B72"/>
    <w:lvl w:ilvl="0" w:tplc="DACAF2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09C700E"/>
    <w:multiLevelType w:val="hybridMultilevel"/>
    <w:tmpl w:val="5422EF3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6319DD"/>
    <w:multiLevelType w:val="hybridMultilevel"/>
    <w:tmpl w:val="02EC6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B9852AD"/>
    <w:multiLevelType w:val="hybridMultilevel"/>
    <w:tmpl w:val="0DF261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F4437DD"/>
    <w:multiLevelType w:val="hybridMultilevel"/>
    <w:tmpl w:val="05E20304"/>
    <w:lvl w:ilvl="0" w:tplc="DACAF2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0865AB0"/>
    <w:multiLevelType w:val="hybridMultilevel"/>
    <w:tmpl w:val="D9EC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0A8089F"/>
    <w:multiLevelType w:val="hybridMultilevel"/>
    <w:tmpl w:val="DC74F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CA026D"/>
    <w:multiLevelType w:val="hybridMultilevel"/>
    <w:tmpl w:val="91A86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8B90C56"/>
    <w:multiLevelType w:val="hybridMultilevel"/>
    <w:tmpl w:val="284AE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885640"/>
    <w:multiLevelType w:val="hybridMultilevel"/>
    <w:tmpl w:val="3CC82AD6"/>
    <w:lvl w:ilvl="0" w:tplc="DACAF2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2B00649B"/>
    <w:multiLevelType w:val="hybridMultilevel"/>
    <w:tmpl w:val="AD587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B0108E2"/>
    <w:multiLevelType w:val="hybridMultilevel"/>
    <w:tmpl w:val="773241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B0B6F84"/>
    <w:multiLevelType w:val="multilevel"/>
    <w:tmpl w:val="0B8EC842"/>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287"/>
        </w:tabs>
        <w:ind w:left="1287" w:hanging="720"/>
      </w:pPr>
      <w:rPr>
        <w:rFonts w:ascii="Arial" w:hAnsi="Arial" w:cs="Arial" w:hint="default"/>
        <w:b w:val="0"/>
        <w:color w:val="auto"/>
        <w:sz w:val="20"/>
        <w:szCs w:val="20"/>
      </w:rPr>
    </w:lvl>
    <w:lvl w:ilvl="2">
      <w:start w:val="1"/>
      <w:numFmt w:val="bullet"/>
      <w:lvlText w:val=""/>
      <w:lvlJc w:val="left"/>
      <w:pPr>
        <w:tabs>
          <w:tab w:val="num" w:pos="2160"/>
        </w:tabs>
        <w:ind w:left="2160" w:hanging="720"/>
      </w:pPr>
      <w:rPr>
        <w:rFonts w:ascii="Symbol" w:hAnsi="Symbol" w:hint="default"/>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DB35AFD"/>
    <w:multiLevelType w:val="singleLevel"/>
    <w:tmpl w:val="0809000F"/>
    <w:lvl w:ilvl="0">
      <w:start w:val="1"/>
      <w:numFmt w:val="decimal"/>
      <w:lvlText w:val="%1."/>
      <w:lvlJc w:val="left"/>
      <w:pPr>
        <w:ind w:left="360" w:hanging="360"/>
      </w:pPr>
      <w:rPr>
        <w:rFonts w:hint="default"/>
        <w:color w:val="000000"/>
        <w:sz w:val="24"/>
      </w:rPr>
    </w:lvl>
  </w:abstractNum>
  <w:abstractNum w:abstractNumId="21">
    <w:nsid w:val="32633D89"/>
    <w:multiLevelType w:val="hybridMultilevel"/>
    <w:tmpl w:val="C6F43576"/>
    <w:lvl w:ilvl="0" w:tplc="DACAF2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32A10AC9"/>
    <w:multiLevelType w:val="hybridMultilevel"/>
    <w:tmpl w:val="A3DCD7A2"/>
    <w:lvl w:ilvl="0" w:tplc="F156FCB4">
      <w:start w:val="1"/>
      <w:numFmt w:val="decimal"/>
      <w:lvlText w:val="%1."/>
      <w:lvlJc w:val="left"/>
      <w:pPr>
        <w:ind w:left="502"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nsid w:val="37A90201"/>
    <w:multiLevelType w:val="hybridMultilevel"/>
    <w:tmpl w:val="CFC44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45839"/>
    <w:multiLevelType w:val="hybridMultilevel"/>
    <w:tmpl w:val="14CC1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A17398E"/>
    <w:multiLevelType w:val="hybridMultilevel"/>
    <w:tmpl w:val="76BEF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D0933F0"/>
    <w:multiLevelType w:val="hybridMultilevel"/>
    <w:tmpl w:val="1FC2B9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AE7BBE"/>
    <w:multiLevelType w:val="hybridMultilevel"/>
    <w:tmpl w:val="A7027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8965382"/>
    <w:multiLevelType w:val="hybridMultilevel"/>
    <w:tmpl w:val="C164D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3EB1AFC"/>
    <w:multiLevelType w:val="hybridMultilevel"/>
    <w:tmpl w:val="CD98E5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A4973C6"/>
    <w:multiLevelType w:val="multilevel"/>
    <w:tmpl w:val="81EA69C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34A6148"/>
    <w:multiLevelType w:val="hybridMultilevel"/>
    <w:tmpl w:val="71C8A14A"/>
    <w:lvl w:ilvl="0" w:tplc="1B3E79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3A4559"/>
    <w:multiLevelType w:val="hybridMultilevel"/>
    <w:tmpl w:val="5CEE8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699F5069"/>
    <w:multiLevelType w:val="hybridMultilevel"/>
    <w:tmpl w:val="D51E8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3863F50"/>
    <w:multiLevelType w:val="hybridMultilevel"/>
    <w:tmpl w:val="04DA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3DD301B"/>
    <w:multiLevelType w:val="hybridMultilevel"/>
    <w:tmpl w:val="4DC2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4E70134"/>
    <w:multiLevelType w:val="hybridMultilevel"/>
    <w:tmpl w:val="61462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nsid w:val="76CB13D5"/>
    <w:multiLevelType w:val="hybridMultilevel"/>
    <w:tmpl w:val="18980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98365C6"/>
    <w:multiLevelType w:val="multilevel"/>
    <w:tmpl w:val="EBA6D6DE"/>
    <w:lvl w:ilvl="0">
      <w:start w:val="3"/>
      <w:numFmt w:val="decimal"/>
      <w:pStyle w:val="ListParagraph"/>
      <w:lvlText w:val="%1."/>
      <w:lvlJc w:val="left"/>
      <w:pPr>
        <w:ind w:left="360" w:hanging="360"/>
      </w:pPr>
      <w:rPr>
        <w:rFonts w:ascii="Arial" w:hAnsi="Arial" w:hint="default"/>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79DC3607"/>
    <w:multiLevelType w:val="hybridMultilevel"/>
    <w:tmpl w:val="93C44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FA52229"/>
    <w:multiLevelType w:val="hybridMultilevel"/>
    <w:tmpl w:val="575E0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FEA01EC"/>
    <w:multiLevelType w:val="hybridMultilevel"/>
    <w:tmpl w:val="E0D288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9"/>
  </w:num>
  <w:num w:numId="3">
    <w:abstractNumId w:val="12"/>
  </w:num>
  <w:num w:numId="4">
    <w:abstractNumId w:val="3"/>
  </w:num>
  <w:num w:numId="5">
    <w:abstractNumId w:val="34"/>
  </w:num>
  <w:num w:numId="6">
    <w:abstractNumId w:val="20"/>
  </w:num>
  <w:num w:numId="7">
    <w:abstractNumId w:val="18"/>
  </w:num>
  <w:num w:numId="8">
    <w:abstractNumId w:val="41"/>
  </w:num>
  <w:num w:numId="9">
    <w:abstractNumId w:val="29"/>
  </w:num>
  <w:num w:numId="10">
    <w:abstractNumId w:val="15"/>
  </w:num>
  <w:num w:numId="11">
    <w:abstractNumId w:val="0"/>
  </w:num>
  <w:num w:numId="12">
    <w:abstractNumId w:val="32"/>
  </w:num>
  <w:num w:numId="13">
    <w:abstractNumId w:val="20"/>
    <w:lvlOverride w:ilvl="0">
      <w:startOverride w:val="1"/>
    </w:lvlOverride>
  </w:num>
  <w:num w:numId="14">
    <w:abstractNumId w:val="25"/>
  </w:num>
  <w:num w:numId="15">
    <w:abstractNumId w:val="42"/>
  </w:num>
  <w:num w:numId="16">
    <w:abstractNumId w:val="11"/>
  </w:num>
  <w:num w:numId="17">
    <w:abstractNumId w:val="36"/>
  </w:num>
  <w:num w:numId="18">
    <w:abstractNumId w:val="35"/>
  </w:num>
  <w:num w:numId="19">
    <w:abstractNumId w:val="8"/>
  </w:num>
  <w:num w:numId="20">
    <w:abstractNumId w:val="4"/>
  </w:num>
  <w:num w:numId="21">
    <w:abstractNumId w:val="33"/>
  </w:num>
  <w:num w:numId="22">
    <w:abstractNumId w:val="24"/>
  </w:num>
  <w:num w:numId="23">
    <w:abstractNumId w:val="5"/>
  </w:num>
  <w:num w:numId="24">
    <w:abstractNumId w:val="40"/>
  </w:num>
  <w:num w:numId="25">
    <w:abstractNumId w:val="38"/>
  </w:num>
  <w:num w:numId="26">
    <w:abstractNumId w:val="14"/>
  </w:num>
  <w:num w:numId="27">
    <w:abstractNumId w:val="28"/>
  </w:num>
  <w:num w:numId="28">
    <w:abstractNumId w:val="9"/>
  </w:num>
  <w:num w:numId="29">
    <w:abstractNumId w:val="37"/>
  </w:num>
  <w:num w:numId="30">
    <w:abstractNumId w:val="13"/>
  </w:num>
  <w:num w:numId="31">
    <w:abstractNumId w:val="17"/>
  </w:num>
  <w:num w:numId="32">
    <w:abstractNumId w:val="6"/>
  </w:num>
  <w:num w:numId="33">
    <w:abstractNumId w:val="21"/>
  </w:num>
  <w:num w:numId="34">
    <w:abstractNumId w:val="16"/>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23"/>
  </w:num>
  <w:num w:numId="4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
  </w:num>
  <w:num w:numId="45">
    <w:abstractNumId w:val="26"/>
  </w:num>
  <w:num w:numId="46">
    <w:abstractNumId w:val="27"/>
  </w:num>
  <w:num w:numId="47">
    <w:abstractNumId w:val="39"/>
    <w:lvlOverride w:ilvl="0">
      <w:lvl w:ilvl="0">
        <w:start w:val="1"/>
        <w:numFmt w:val="decimal"/>
        <w:pStyle w:val="ListParagraph"/>
        <w:lvlText w:val="%1."/>
        <w:lvlJc w:val="left"/>
        <w:pPr>
          <w:ind w:left="360" w:hanging="360"/>
        </w:pPr>
        <w:rPr>
          <w:rFonts w:ascii="Arial" w:hAnsi="Arial"/>
          <w:b w:val="0"/>
          <w:color w:val="000000"/>
          <w:sz w:val="24"/>
        </w:rPr>
      </w:lvl>
    </w:lvlOverride>
  </w:num>
  <w:num w:numId="48">
    <w:abstractNumId w:val="22"/>
  </w:num>
  <w:num w:numId="49">
    <w:abstractNumId w:val="31"/>
  </w:num>
  <w:numIdMacAtCleanup w:val="2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YLDE Alan">
    <w15:presenceInfo w15:providerId="AD" w15:userId="S-1-5-21-38480843-1272404328-111032338-26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29"/>
    <w:rsid w:val="00000C94"/>
    <w:rsid w:val="0000393F"/>
    <w:rsid w:val="000113C9"/>
    <w:rsid w:val="000117D4"/>
    <w:rsid w:val="0001586E"/>
    <w:rsid w:val="000268C8"/>
    <w:rsid w:val="000314D7"/>
    <w:rsid w:val="00032003"/>
    <w:rsid w:val="00045F8B"/>
    <w:rsid w:val="00046D2B"/>
    <w:rsid w:val="00056263"/>
    <w:rsid w:val="00063C68"/>
    <w:rsid w:val="00064D8A"/>
    <w:rsid w:val="00064F82"/>
    <w:rsid w:val="00066510"/>
    <w:rsid w:val="000667FD"/>
    <w:rsid w:val="0007094D"/>
    <w:rsid w:val="00072B72"/>
    <w:rsid w:val="00075CCD"/>
    <w:rsid w:val="00077523"/>
    <w:rsid w:val="00081EE3"/>
    <w:rsid w:val="00084A07"/>
    <w:rsid w:val="00092025"/>
    <w:rsid w:val="0009427F"/>
    <w:rsid w:val="000947DC"/>
    <w:rsid w:val="000B1C69"/>
    <w:rsid w:val="000B2C57"/>
    <w:rsid w:val="000B371A"/>
    <w:rsid w:val="000C089F"/>
    <w:rsid w:val="000C3928"/>
    <w:rsid w:val="000C5E8E"/>
    <w:rsid w:val="000C7318"/>
    <w:rsid w:val="000D4345"/>
    <w:rsid w:val="000E1CFC"/>
    <w:rsid w:val="000E3620"/>
    <w:rsid w:val="000F417B"/>
    <w:rsid w:val="000F4481"/>
    <w:rsid w:val="000F4751"/>
    <w:rsid w:val="00101AE2"/>
    <w:rsid w:val="0010524C"/>
    <w:rsid w:val="0010763E"/>
    <w:rsid w:val="00107E75"/>
    <w:rsid w:val="00111FB1"/>
    <w:rsid w:val="00113418"/>
    <w:rsid w:val="00114C3E"/>
    <w:rsid w:val="00115F26"/>
    <w:rsid w:val="00126316"/>
    <w:rsid w:val="00133E0C"/>
    <w:rsid w:val="001356F1"/>
    <w:rsid w:val="00136994"/>
    <w:rsid w:val="0014128E"/>
    <w:rsid w:val="00146C4F"/>
    <w:rsid w:val="00151888"/>
    <w:rsid w:val="00156BFE"/>
    <w:rsid w:val="001606C2"/>
    <w:rsid w:val="00160901"/>
    <w:rsid w:val="00170A2D"/>
    <w:rsid w:val="00175E59"/>
    <w:rsid w:val="001761CB"/>
    <w:rsid w:val="001808BC"/>
    <w:rsid w:val="00182B81"/>
    <w:rsid w:val="0018619D"/>
    <w:rsid w:val="00186258"/>
    <w:rsid w:val="00195B34"/>
    <w:rsid w:val="001A011E"/>
    <w:rsid w:val="001A066A"/>
    <w:rsid w:val="001A13E6"/>
    <w:rsid w:val="001A5731"/>
    <w:rsid w:val="001B3EBB"/>
    <w:rsid w:val="001B42C3"/>
    <w:rsid w:val="001C3084"/>
    <w:rsid w:val="001C5D5E"/>
    <w:rsid w:val="001D4D6D"/>
    <w:rsid w:val="001D678D"/>
    <w:rsid w:val="001E03F8"/>
    <w:rsid w:val="001E1678"/>
    <w:rsid w:val="001E266B"/>
    <w:rsid w:val="001E3376"/>
    <w:rsid w:val="001F1CA8"/>
    <w:rsid w:val="001F20DE"/>
    <w:rsid w:val="001F31D2"/>
    <w:rsid w:val="002069B3"/>
    <w:rsid w:val="002162B8"/>
    <w:rsid w:val="002171F4"/>
    <w:rsid w:val="002241ED"/>
    <w:rsid w:val="002329CF"/>
    <w:rsid w:val="00232F5B"/>
    <w:rsid w:val="00247C29"/>
    <w:rsid w:val="00260467"/>
    <w:rsid w:val="00262A9D"/>
    <w:rsid w:val="00263EA3"/>
    <w:rsid w:val="00264568"/>
    <w:rsid w:val="002738A2"/>
    <w:rsid w:val="00283B69"/>
    <w:rsid w:val="00284F85"/>
    <w:rsid w:val="00290915"/>
    <w:rsid w:val="002A100D"/>
    <w:rsid w:val="002A22E2"/>
    <w:rsid w:val="002A2D09"/>
    <w:rsid w:val="002A4510"/>
    <w:rsid w:val="002C3601"/>
    <w:rsid w:val="002C64F7"/>
    <w:rsid w:val="002D053C"/>
    <w:rsid w:val="002F41F2"/>
    <w:rsid w:val="002F68CC"/>
    <w:rsid w:val="00301BF3"/>
    <w:rsid w:val="0030208D"/>
    <w:rsid w:val="003035D9"/>
    <w:rsid w:val="00306945"/>
    <w:rsid w:val="003165D8"/>
    <w:rsid w:val="00323418"/>
    <w:rsid w:val="003357BF"/>
    <w:rsid w:val="003464E1"/>
    <w:rsid w:val="00361C76"/>
    <w:rsid w:val="0036423D"/>
    <w:rsid w:val="00364FAD"/>
    <w:rsid w:val="0036738F"/>
    <w:rsid w:val="0036759C"/>
    <w:rsid w:val="00367AE5"/>
    <w:rsid w:val="00367D71"/>
    <w:rsid w:val="00370027"/>
    <w:rsid w:val="00370487"/>
    <w:rsid w:val="00373BD7"/>
    <w:rsid w:val="0038150A"/>
    <w:rsid w:val="0039194E"/>
    <w:rsid w:val="0039357B"/>
    <w:rsid w:val="003A26FD"/>
    <w:rsid w:val="003A5955"/>
    <w:rsid w:val="003A76C8"/>
    <w:rsid w:val="003B0980"/>
    <w:rsid w:val="003B6E75"/>
    <w:rsid w:val="003B7DA1"/>
    <w:rsid w:val="003C5012"/>
    <w:rsid w:val="003C5775"/>
    <w:rsid w:val="003D0379"/>
    <w:rsid w:val="003D1756"/>
    <w:rsid w:val="003D2574"/>
    <w:rsid w:val="003D4C59"/>
    <w:rsid w:val="003F4267"/>
    <w:rsid w:val="00404032"/>
    <w:rsid w:val="0040736F"/>
    <w:rsid w:val="00411F16"/>
    <w:rsid w:val="00412C1F"/>
    <w:rsid w:val="0041439C"/>
    <w:rsid w:val="0042030E"/>
    <w:rsid w:val="00420DB0"/>
    <w:rsid w:val="00421CB2"/>
    <w:rsid w:val="004268B9"/>
    <w:rsid w:val="00426D2A"/>
    <w:rsid w:val="00433B96"/>
    <w:rsid w:val="004365F8"/>
    <w:rsid w:val="004440F1"/>
    <w:rsid w:val="004456DD"/>
    <w:rsid w:val="00446CDF"/>
    <w:rsid w:val="00450474"/>
    <w:rsid w:val="004521B7"/>
    <w:rsid w:val="004548E3"/>
    <w:rsid w:val="00457873"/>
    <w:rsid w:val="00462AB5"/>
    <w:rsid w:val="004653AD"/>
    <w:rsid w:val="00465EAF"/>
    <w:rsid w:val="004711FC"/>
    <w:rsid w:val="004738C5"/>
    <w:rsid w:val="00473F3E"/>
    <w:rsid w:val="00475860"/>
    <w:rsid w:val="004804B9"/>
    <w:rsid w:val="00484329"/>
    <w:rsid w:val="00487092"/>
    <w:rsid w:val="00491046"/>
    <w:rsid w:val="004A043B"/>
    <w:rsid w:val="004A27B5"/>
    <w:rsid w:val="004A2AC7"/>
    <w:rsid w:val="004A3E93"/>
    <w:rsid w:val="004A6D2F"/>
    <w:rsid w:val="004B1835"/>
    <w:rsid w:val="004C2887"/>
    <w:rsid w:val="004D2626"/>
    <w:rsid w:val="004D6E26"/>
    <w:rsid w:val="004D77D3"/>
    <w:rsid w:val="004D7A91"/>
    <w:rsid w:val="004E2959"/>
    <w:rsid w:val="004F20EF"/>
    <w:rsid w:val="004F58F7"/>
    <w:rsid w:val="004F7774"/>
    <w:rsid w:val="00502412"/>
    <w:rsid w:val="0050321C"/>
    <w:rsid w:val="00505EA4"/>
    <w:rsid w:val="00507FE0"/>
    <w:rsid w:val="00525F6A"/>
    <w:rsid w:val="005268C5"/>
    <w:rsid w:val="00534D9C"/>
    <w:rsid w:val="005427A0"/>
    <w:rsid w:val="0054712D"/>
    <w:rsid w:val="00547EF6"/>
    <w:rsid w:val="00550211"/>
    <w:rsid w:val="00552930"/>
    <w:rsid w:val="00554C9B"/>
    <w:rsid w:val="005570B5"/>
    <w:rsid w:val="00560AC5"/>
    <w:rsid w:val="00566E73"/>
    <w:rsid w:val="00567E18"/>
    <w:rsid w:val="0057130A"/>
    <w:rsid w:val="00574982"/>
    <w:rsid w:val="00575235"/>
    <w:rsid w:val="00575F5F"/>
    <w:rsid w:val="005807BA"/>
    <w:rsid w:val="00581805"/>
    <w:rsid w:val="00585F76"/>
    <w:rsid w:val="00591686"/>
    <w:rsid w:val="005A10AD"/>
    <w:rsid w:val="005A34E4"/>
    <w:rsid w:val="005A60D1"/>
    <w:rsid w:val="005B17F2"/>
    <w:rsid w:val="005B195B"/>
    <w:rsid w:val="005B7FB0"/>
    <w:rsid w:val="005C35A5"/>
    <w:rsid w:val="005C577C"/>
    <w:rsid w:val="005C7E85"/>
    <w:rsid w:val="005D0621"/>
    <w:rsid w:val="005D1E27"/>
    <w:rsid w:val="005D2A3E"/>
    <w:rsid w:val="005E022E"/>
    <w:rsid w:val="005E1ACD"/>
    <w:rsid w:val="005E38FD"/>
    <w:rsid w:val="005E5215"/>
    <w:rsid w:val="005F3F9E"/>
    <w:rsid w:val="005F7F7E"/>
    <w:rsid w:val="00607D7C"/>
    <w:rsid w:val="00614693"/>
    <w:rsid w:val="00623C2F"/>
    <w:rsid w:val="00627066"/>
    <w:rsid w:val="00633578"/>
    <w:rsid w:val="00636D62"/>
    <w:rsid w:val="00637068"/>
    <w:rsid w:val="00640036"/>
    <w:rsid w:val="00645945"/>
    <w:rsid w:val="00645BA8"/>
    <w:rsid w:val="00650811"/>
    <w:rsid w:val="00656FDA"/>
    <w:rsid w:val="00661D3E"/>
    <w:rsid w:val="006628EA"/>
    <w:rsid w:val="0068312A"/>
    <w:rsid w:val="00692627"/>
    <w:rsid w:val="00693EC9"/>
    <w:rsid w:val="00694382"/>
    <w:rsid w:val="006951D2"/>
    <w:rsid w:val="0069627F"/>
    <w:rsid w:val="006969E7"/>
    <w:rsid w:val="006A3595"/>
    <w:rsid w:val="006A3643"/>
    <w:rsid w:val="006C2A29"/>
    <w:rsid w:val="006C64CF"/>
    <w:rsid w:val="006C6D5D"/>
    <w:rsid w:val="006C7C6C"/>
    <w:rsid w:val="006D052F"/>
    <w:rsid w:val="006D17B1"/>
    <w:rsid w:val="006D4752"/>
    <w:rsid w:val="006D708A"/>
    <w:rsid w:val="006E14C1"/>
    <w:rsid w:val="006E2ADB"/>
    <w:rsid w:val="006F0292"/>
    <w:rsid w:val="006F27FA"/>
    <w:rsid w:val="006F416B"/>
    <w:rsid w:val="006F519B"/>
    <w:rsid w:val="00702F10"/>
    <w:rsid w:val="0070374C"/>
    <w:rsid w:val="00707C98"/>
    <w:rsid w:val="00713675"/>
    <w:rsid w:val="00715823"/>
    <w:rsid w:val="00722CEE"/>
    <w:rsid w:val="00724962"/>
    <w:rsid w:val="00730749"/>
    <w:rsid w:val="007337DF"/>
    <w:rsid w:val="0073566C"/>
    <w:rsid w:val="007359CC"/>
    <w:rsid w:val="007367F6"/>
    <w:rsid w:val="00737B93"/>
    <w:rsid w:val="00737C85"/>
    <w:rsid w:val="00740B8D"/>
    <w:rsid w:val="007413BB"/>
    <w:rsid w:val="0074315C"/>
    <w:rsid w:val="00745BF0"/>
    <w:rsid w:val="00747E50"/>
    <w:rsid w:val="00750782"/>
    <w:rsid w:val="007615FE"/>
    <w:rsid w:val="0076335E"/>
    <w:rsid w:val="0076655C"/>
    <w:rsid w:val="00772E55"/>
    <w:rsid w:val="007739F1"/>
    <w:rsid w:val="007742DC"/>
    <w:rsid w:val="00781DAC"/>
    <w:rsid w:val="007859F3"/>
    <w:rsid w:val="00785B28"/>
    <w:rsid w:val="00787226"/>
    <w:rsid w:val="00791437"/>
    <w:rsid w:val="007A2866"/>
    <w:rsid w:val="007B0C2C"/>
    <w:rsid w:val="007B18DF"/>
    <w:rsid w:val="007B278E"/>
    <w:rsid w:val="007C0DE5"/>
    <w:rsid w:val="007C160C"/>
    <w:rsid w:val="007C365E"/>
    <w:rsid w:val="007C5C23"/>
    <w:rsid w:val="007D4D44"/>
    <w:rsid w:val="007E2A26"/>
    <w:rsid w:val="007E4CEC"/>
    <w:rsid w:val="007F2348"/>
    <w:rsid w:val="00803F07"/>
    <w:rsid w:val="008042E9"/>
    <w:rsid w:val="0080749A"/>
    <w:rsid w:val="0081127D"/>
    <w:rsid w:val="008139D7"/>
    <w:rsid w:val="00821FB8"/>
    <w:rsid w:val="00822ACD"/>
    <w:rsid w:val="00840B10"/>
    <w:rsid w:val="0084453C"/>
    <w:rsid w:val="008512F7"/>
    <w:rsid w:val="00855C66"/>
    <w:rsid w:val="00864603"/>
    <w:rsid w:val="00871EE4"/>
    <w:rsid w:val="00884D1C"/>
    <w:rsid w:val="008942B1"/>
    <w:rsid w:val="00896566"/>
    <w:rsid w:val="008B293F"/>
    <w:rsid w:val="008B593E"/>
    <w:rsid w:val="008B7371"/>
    <w:rsid w:val="008B7B7A"/>
    <w:rsid w:val="008C247C"/>
    <w:rsid w:val="008C6EB7"/>
    <w:rsid w:val="008D10B0"/>
    <w:rsid w:val="008D11F4"/>
    <w:rsid w:val="008D3DDB"/>
    <w:rsid w:val="008E78E1"/>
    <w:rsid w:val="008F261E"/>
    <w:rsid w:val="008F573F"/>
    <w:rsid w:val="008F70A7"/>
    <w:rsid w:val="008F7CC4"/>
    <w:rsid w:val="009034EC"/>
    <w:rsid w:val="00907C06"/>
    <w:rsid w:val="00922669"/>
    <w:rsid w:val="00927573"/>
    <w:rsid w:val="0093067A"/>
    <w:rsid w:val="009347AE"/>
    <w:rsid w:val="00941C60"/>
    <w:rsid w:val="00941FD1"/>
    <w:rsid w:val="009467AC"/>
    <w:rsid w:val="00955C90"/>
    <w:rsid w:val="00962C1E"/>
    <w:rsid w:val="00963593"/>
    <w:rsid w:val="00966D42"/>
    <w:rsid w:val="00970FD1"/>
    <w:rsid w:val="00971689"/>
    <w:rsid w:val="00973E90"/>
    <w:rsid w:val="00975B07"/>
    <w:rsid w:val="00980B4A"/>
    <w:rsid w:val="0098546B"/>
    <w:rsid w:val="009A76D0"/>
    <w:rsid w:val="009B3AF0"/>
    <w:rsid w:val="009E3D0A"/>
    <w:rsid w:val="009E51FC"/>
    <w:rsid w:val="009F1D28"/>
    <w:rsid w:val="009F7618"/>
    <w:rsid w:val="00A0266C"/>
    <w:rsid w:val="00A04D23"/>
    <w:rsid w:val="00A06766"/>
    <w:rsid w:val="00A0771E"/>
    <w:rsid w:val="00A12CB8"/>
    <w:rsid w:val="00A130EB"/>
    <w:rsid w:val="00A13765"/>
    <w:rsid w:val="00A21B12"/>
    <w:rsid w:val="00A232EB"/>
    <w:rsid w:val="00A23F80"/>
    <w:rsid w:val="00A3024F"/>
    <w:rsid w:val="00A37A61"/>
    <w:rsid w:val="00A4234D"/>
    <w:rsid w:val="00A423BF"/>
    <w:rsid w:val="00A464C4"/>
    <w:rsid w:val="00A46E98"/>
    <w:rsid w:val="00A56561"/>
    <w:rsid w:val="00A566D0"/>
    <w:rsid w:val="00A6352B"/>
    <w:rsid w:val="00A6491A"/>
    <w:rsid w:val="00A701B5"/>
    <w:rsid w:val="00A714BB"/>
    <w:rsid w:val="00A7422B"/>
    <w:rsid w:val="00A7466F"/>
    <w:rsid w:val="00A77147"/>
    <w:rsid w:val="00A810FC"/>
    <w:rsid w:val="00A83FC9"/>
    <w:rsid w:val="00A84706"/>
    <w:rsid w:val="00A84925"/>
    <w:rsid w:val="00A9198A"/>
    <w:rsid w:val="00A92D8F"/>
    <w:rsid w:val="00A955E7"/>
    <w:rsid w:val="00AA170E"/>
    <w:rsid w:val="00AB2988"/>
    <w:rsid w:val="00AB4DB4"/>
    <w:rsid w:val="00AB5546"/>
    <w:rsid w:val="00AB5D12"/>
    <w:rsid w:val="00AB7999"/>
    <w:rsid w:val="00AC3EAA"/>
    <w:rsid w:val="00AD182A"/>
    <w:rsid w:val="00AD3292"/>
    <w:rsid w:val="00AD651C"/>
    <w:rsid w:val="00AE00D6"/>
    <w:rsid w:val="00AE50BE"/>
    <w:rsid w:val="00AE6397"/>
    <w:rsid w:val="00AE7AF0"/>
    <w:rsid w:val="00AF1F30"/>
    <w:rsid w:val="00AF5B39"/>
    <w:rsid w:val="00AF5F80"/>
    <w:rsid w:val="00AF62B4"/>
    <w:rsid w:val="00B02023"/>
    <w:rsid w:val="00B044C6"/>
    <w:rsid w:val="00B076EC"/>
    <w:rsid w:val="00B1504F"/>
    <w:rsid w:val="00B31F0C"/>
    <w:rsid w:val="00B3365D"/>
    <w:rsid w:val="00B350A9"/>
    <w:rsid w:val="00B35A1F"/>
    <w:rsid w:val="00B500CA"/>
    <w:rsid w:val="00B53D92"/>
    <w:rsid w:val="00B61AF9"/>
    <w:rsid w:val="00B61BAC"/>
    <w:rsid w:val="00B620EE"/>
    <w:rsid w:val="00B705B9"/>
    <w:rsid w:val="00B72DE8"/>
    <w:rsid w:val="00B85C2F"/>
    <w:rsid w:val="00B86314"/>
    <w:rsid w:val="00B868E6"/>
    <w:rsid w:val="00BA1C2E"/>
    <w:rsid w:val="00BA453E"/>
    <w:rsid w:val="00BC200B"/>
    <w:rsid w:val="00BC2969"/>
    <w:rsid w:val="00BC4756"/>
    <w:rsid w:val="00BC69A4"/>
    <w:rsid w:val="00BC6E74"/>
    <w:rsid w:val="00BD0A36"/>
    <w:rsid w:val="00BE0680"/>
    <w:rsid w:val="00BE305F"/>
    <w:rsid w:val="00BE36E5"/>
    <w:rsid w:val="00BE62B5"/>
    <w:rsid w:val="00BE7BA3"/>
    <w:rsid w:val="00BF5682"/>
    <w:rsid w:val="00BF7B09"/>
    <w:rsid w:val="00C02439"/>
    <w:rsid w:val="00C054E1"/>
    <w:rsid w:val="00C063D2"/>
    <w:rsid w:val="00C0652D"/>
    <w:rsid w:val="00C1575B"/>
    <w:rsid w:val="00C20A95"/>
    <w:rsid w:val="00C2692F"/>
    <w:rsid w:val="00C3207C"/>
    <w:rsid w:val="00C348AE"/>
    <w:rsid w:val="00C35C8E"/>
    <w:rsid w:val="00C400E1"/>
    <w:rsid w:val="00C40259"/>
    <w:rsid w:val="00C41187"/>
    <w:rsid w:val="00C44B54"/>
    <w:rsid w:val="00C53BE7"/>
    <w:rsid w:val="00C63BC2"/>
    <w:rsid w:val="00C63C31"/>
    <w:rsid w:val="00C7349D"/>
    <w:rsid w:val="00C757A0"/>
    <w:rsid w:val="00C760DE"/>
    <w:rsid w:val="00C82630"/>
    <w:rsid w:val="00C82AC0"/>
    <w:rsid w:val="00C85B4E"/>
    <w:rsid w:val="00C907F7"/>
    <w:rsid w:val="00C926A1"/>
    <w:rsid w:val="00C92729"/>
    <w:rsid w:val="00CA2103"/>
    <w:rsid w:val="00CB6B99"/>
    <w:rsid w:val="00CC68B0"/>
    <w:rsid w:val="00CD6438"/>
    <w:rsid w:val="00CE4C87"/>
    <w:rsid w:val="00CE544A"/>
    <w:rsid w:val="00D0204E"/>
    <w:rsid w:val="00D04CB0"/>
    <w:rsid w:val="00D11E1C"/>
    <w:rsid w:val="00D12FA3"/>
    <w:rsid w:val="00D15BBF"/>
    <w:rsid w:val="00D160B0"/>
    <w:rsid w:val="00D17F94"/>
    <w:rsid w:val="00D20A1A"/>
    <w:rsid w:val="00D223FC"/>
    <w:rsid w:val="00D23D3A"/>
    <w:rsid w:val="00D26D1E"/>
    <w:rsid w:val="00D27868"/>
    <w:rsid w:val="00D460CD"/>
    <w:rsid w:val="00D474CF"/>
    <w:rsid w:val="00D5547E"/>
    <w:rsid w:val="00D664D2"/>
    <w:rsid w:val="00D777C2"/>
    <w:rsid w:val="00D843C3"/>
    <w:rsid w:val="00D869A1"/>
    <w:rsid w:val="00D92DD4"/>
    <w:rsid w:val="00D94D96"/>
    <w:rsid w:val="00DA3E3D"/>
    <w:rsid w:val="00DA413F"/>
    <w:rsid w:val="00DA4584"/>
    <w:rsid w:val="00DA614B"/>
    <w:rsid w:val="00DB1B80"/>
    <w:rsid w:val="00DB27EA"/>
    <w:rsid w:val="00DB3586"/>
    <w:rsid w:val="00DB773D"/>
    <w:rsid w:val="00DC2E03"/>
    <w:rsid w:val="00DC3060"/>
    <w:rsid w:val="00DC5214"/>
    <w:rsid w:val="00DC61EC"/>
    <w:rsid w:val="00DC6D17"/>
    <w:rsid w:val="00DD22FC"/>
    <w:rsid w:val="00DE0FB2"/>
    <w:rsid w:val="00DE12F5"/>
    <w:rsid w:val="00DF093E"/>
    <w:rsid w:val="00E01F42"/>
    <w:rsid w:val="00E13656"/>
    <w:rsid w:val="00E17C83"/>
    <w:rsid w:val="00E206D6"/>
    <w:rsid w:val="00E21747"/>
    <w:rsid w:val="00E256BE"/>
    <w:rsid w:val="00E30EF2"/>
    <w:rsid w:val="00E3318B"/>
    <w:rsid w:val="00E3366E"/>
    <w:rsid w:val="00E34794"/>
    <w:rsid w:val="00E52086"/>
    <w:rsid w:val="00E543A6"/>
    <w:rsid w:val="00E60479"/>
    <w:rsid w:val="00E61656"/>
    <w:rsid w:val="00E61D73"/>
    <w:rsid w:val="00E66993"/>
    <w:rsid w:val="00E73684"/>
    <w:rsid w:val="00E818D6"/>
    <w:rsid w:val="00E87F7A"/>
    <w:rsid w:val="00E96BD7"/>
    <w:rsid w:val="00EA0DB1"/>
    <w:rsid w:val="00EA0EE9"/>
    <w:rsid w:val="00EA1336"/>
    <w:rsid w:val="00EA29B5"/>
    <w:rsid w:val="00EB7D34"/>
    <w:rsid w:val="00EC1A61"/>
    <w:rsid w:val="00ED52CA"/>
    <w:rsid w:val="00ED5860"/>
    <w:rsid w:val="00EE00E3"/>
    <w:rsid w:val="00EE1528"/>
    <w:rsid w:val="00EE35C9"/>
    <w:rsid w:val="00EE36FD"/>
    <w:rsid w:val="00EE41F2"/>
    <w:rsid w:val="00EF43CD"/>
    <w:rsid w:val="00F05ECA"/>
    <w:rsid w:val="00F0637E"/>
    <w:rsid w:val="00F11964"/>
    <w:rsid w:val="00F12BCD"/>
    <w:rsid w:val="00F13EB5"/>
    <w:rsid w:val="00F229B8"/>
    <w:rsid w:val="00F2657D"/>
    <w:rsid w:val="00F3566E"/>
    <w:rsid w:val="00F375FB"/>
    <w:rsid w:val="00F41AC1"/>
    <w:rsid w:val="00F4367A"/>
    <w:rsid w:val="00F445B1"/>
    <w:rsid w:val="00F45CD4"/>
    <w:rsid w:val="00F537FC"/>
    <w:rsid w:val="00F66DCA"/>
    <w:rsid w:val="00F73D39"/>
    <w:rsid w:val="00F74F53"/>
    <w:rsid w:val="00F7606D"/>
    <w:rsid w:val="00F81670"/>
    <w:rsid w:val="00F82024"/>
    <w:rsid w:val="00F8225B"/>
    <w:rsid w:val="00F84CEE"/>
    <w:rsid w:val="00F937BE"/>
    <w:rsid w:val="00F95BC9"/>
    <w:rsid w:val="00F97062"/>
    <w:rsid w:val="00F972F7"/>
    <w:rsid w:val="00FA165B"/>
    <w:rsid w:val="00FA3091"/>
    <w:rsid w:val="00FA624C"/>
    <w:rsid w:val="00FB2B61"/>
    <w:rsid w:val="00FB783B"/>
    <w:rsid w:val="00FB7F38"/>
    <w:rsid w:val="00FC269F"/>
    <w:rsid w:val="00FC29CC"/>
    <w:rsid w:val="00FC4E9E"/>
    <w:rsid w:val="00FD0FAC"/>
    <w:rsid w:val="00FD0FE4"/>
    <w:rsid w:val="00FD1DFA"/>
    <w:rsid w:val="00FD2AD3"/>
    <w:rsid w:val="00FD4966"/>
    <w:rsid w:val="00FE0854"/>
    <w:rsid w:val="00FE1DFA"/>
    <w:rsid w:val="00FE2377"/>
    <w:rsid w:val="00FE4EB1"/>
    <w:rsid w:val="00FE57DC"/>
    <w:rsid w:val="00FE7D80"/>
    <w:rsid w:val="00FF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4382"/>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styleId="Emphasis">
    <w:name w:val="Emphasis"/>
    <w:basedOn w:val="DefaultParagraphFont"/>
    <w:uiPriority w:val="20"/>
    <w:qFormat/>
    <w:rsid w:val="00C92729"/>
    <w:rPr>
      <w:i/>
      <w:iCs/>
    </w:rPr>
  </w:style>
  <w:style w:type="table" w:customStyle="1" w:styleId="TableGrid1">
    <w:name w:val="Table Grid1"/>
    <w:basedOn w:val="TableNormal"/>
    <w:next w:val="TableGrid"/>
    <w:rsid w:val="00FB7F38"/>
    <w:rPr>
      <w:rFonts w:eastAsiaTheme="minorHAns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B10"/>
    <w:pPr>
      <w:autoSpaceDE w:val="0"/>
      <w:autoSpaceDN w:val="0"/>
      <w:adjustRightInd w:val="0"/>
    </w:pPr>
    <w:rPr>
      <w:rFonts w:cs="Arial"/>
      <w:color w:val="000000"/>
      <w:sz w:val="24"/>
      <w:szCs w:val="24"/>
    </w:rPr>
  </w:style>
  <w:style w:type="character" w:customStyle="1" w:styleId="FooterChar">
    <w:name w:val="Footer Char"/>
    <w:aliases w:val="zzFooter Char"/>
    <w:basedOn w:val="DefaultParagraphFont"/>
    <w:link w:val="Footer"/>
    <w:uiPriority w:val="99"/>
    <w:rsid w:val="00702F10"/>
    <w:rPr>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94382"/>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link w:val="FooterChar"/>
    <w:uiPriority w:val="99"/>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 w:type="character" w:styleId="Emphasis">
    <w:name w:val="Emphasis"/>
    <w:basedOn w:val="DefaultParagraphFont"/>
    <w:uiPriority w:val="20"/>
    <w:qFormat/>
    <w:rsid w:val="00C92729"/>
    <w:rPr>
      <w:i/>
      <w:iCs/>
    </w:rPr>
  </w:style>
  <w:style w:type="table" w:customStyle="1" w:styleId="TableGrid1">
    <w:name w:val="Table Grid1"/>
    <w:basedOn w:val="TableNormal"/>
    <w:next w:val="TableGrid"/>
    <w:rsid w:val="00FB7F38"/>
    <w:rPr>
      <w:rFonts w:eastAsiaTheme="minorHAnsi"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0B10"/>
    <w:pPr>
      <w:autoSpaceDE w:val="0"/>
      <w:autoSpaceDN w:val="0"/>
      <w:adjustRightInd w:val="0"/>
    </w:pPr>
    <w:rPr>
      <w:rFonts w:cs="Arial"/>
      <w:color w:val="000000"/>
      <w:sz w:val="24"/>
      <w:szCs w:val="24"/>
    </w:rPr>
  </w:style>
  <w:style w:type="character" w:customStyle="1" w:styleId="FooterChar">
    <w:name w:val="Footer Char"/>
    <w:aliases w:val="zzFooter Char"/>
    <w:basedOn w:val="DefaultParagraphFont"/>
    <w:link w:val="Footer"/>
    <w:uiPriority w:val="99"/>
    <w:rsid w:val="00702F10"/>
    <w:rPr>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422414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46672965">
      <w:bodyDiv w:val="1"/>
      <w:marLeft w:val="0"/>
      <w:marRight w:val="0"/>
      <w:marTop w:val="0"/>
      <w:marBottom w:val="0"/>
      <w:divBdr>
        <w:top w:val="none" w:sz="0" w:space="0" w:color="auto"/>
        <w:left w:val="none" w:sz="0" w:space="0" w:color="auto"/>
        <w:bottom w:val="none" w:sz="0" w:space="0" w:color="auto"/>
        <w:right w:val="none" w:sz="0" w:space="0" w:color="auto"/>
      </w:divBdr>
    </w:div>
    <w:div w:id="862859962">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958877393">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6021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hudson@oxford.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9E163-603A-463D-B0F1-0A44D1AB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5DC6CE28</Template>
  <TotalTime>28</TotalTime>
  <Pages>4</Pages>
  <Words>979</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cphythian</dc:creator>
  <cp:lastModifiedBy>thudson</cp:lastModifiedBy>
  <cp:revision>6</cp:revision>
  <cp:lastPrinted>2019-08-28T11:12:00Z</cp:lastPrinted>
  <dcterms:created xsi:type="dcterms:W3CDTF">2020-03-16T10:58:00Z</dcterms:created>
  <dcterms:modified xsi:type="dcterms:W3CDTF">2020-03-17T11:54:00Z</dcterms:modified>
</cp:coreProperties>
</file>